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Проблемные вопросы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возникающие при оказании содействия внедрению Стандарта развития конкуренции в субъектах РФ</w:t>
      </w:r>
    </w:p>
    <w:p>
      <w:pPr>
        <w:pStyle w:val="Normal.0"/>
        <w:jc w:val="center"/>
      </w:pPr>
    </w:p>
    <w:p>
      <w:pPr>
        <w:pStyle w:val="Normal.0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Внедрение Стандарта развития конкуренции в субъектах РФ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разработка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его основе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дорожных карт – новое направление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деятельности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всех участников процесса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в первую очередь для самих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Достаточно посмотреть на дорожные карты развития конкуренции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утвержденные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сегодняшний день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рядом регионов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понять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большинстве случаев это формально составленные 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надо признать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формализм был спровоцирован целым комплексом проблемных вопросов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возникших из формулировок и понятий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самим стандартом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Стандарт предусматривает обязанность уполномоченного органа по оценке состояния конкуренции на рынках и по мониторингу наличия административных барьеров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должно быть положено в основу планирования мероприятий по содействию развитию конкуренци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разработки показателей развития конкуренции на предстоящий период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При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Стандарт не предлагает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методик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 оценке состояния конкуренции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указывая на возможность уполномоченными органами самостоятельно определить каким образом они это будут 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Надо признать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оценка состояния конкуренции на товарных рынках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трудоёмкая аналитическая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Уполномоченные органы на сегодняшний день не имеют ни опыта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какой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базы для проведения такой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ведь именно оценка состояния конкуренции лежит в основе работы по разработке дорожной карты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 наличии методик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утвержденных приказом ФАС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при наличии сложившейся практики антимонопольных органов по оценке состояния конкуренции на рынках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внедрение других методик было бы нецелесообразно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Только при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условии применения единой методики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уполномоченные органы и антимонопольные органы будут располагать сопоставимой информацией и строить единообразную практику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</w:p>
    <w:p>
      <w:pPr>
        <w:pStyle w:val="Normal.0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изложенного полагаю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своей работе уполномоченные органы должны руководствоваться приказом ФАС России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220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утверждении порядка проведения анализа состояния конкурентной среды на товарных рынках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чем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предлагаю внести изменение в 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Стандарта развития конкуренции путём исключения условия о самостоятельном выборе методики и включения условия о применении приказа ФАС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220</w:t>
      </w:r>
    </w:p>
    <w:p>
      <w:pPr>
        <w:pStyle w:val="Normal.0"/>
      </w:pP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 xml:space="preserve">44. </w:t>
      </w:r>
      <w:r>
        <w:rPr>
          <w:rtl w:val="0"/>
          <w:lang w:val="ru-RU"/>
        </w:rPr>
        <w:t xml:space="preserve">Уполномоченный орган вправе самостоятельно выбирать методику проведения мониторинга в соответствии с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"P160"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пунктами </w:t>
      </w:r>
      <w:r>
        <w:rPr>
          <w:rStyle w:val="Hyperlink.0"/>
          <w:rtl w:val="0"/>
          <w:lang w:val="ru-RU"/>
        </w:rPr>
        <w:t>42</w:t>
      </w:r>
      <w:r>
        <w:rPr/>
        <w:fldChar w:fldCharType="end" w:fldLock="0"/>
      </w:r>
      <w:r>
        <w:rPr>
          <w:rtl w:val="0"/>
          <w:lang w:val="ru-RU"/>
        </w:rPr>
        <w:t xml:space="preserve"> и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"P176"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43</w:t>
      </w:r>
      <w:r>
        <w:rPr/>
        <w:fldChar w:fldCharType="end" w:fldLock="0"/>
      </w:r>
      <w:r>
        <w:rPr>
          <w:rtl w:val="0"/>
          <w:lang w:val="ru-RU"/>
        </w:rPr>
        <w:t xml:space="preserve"> стандарта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определять критерии</w:t>
      </w:r>
      <w:r>
        <w:rPr>
          <w:rtl w:val="0"/>
          <w:lang w:val="ru-RU"/>
        </w:rPr>
        <w:t>: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оценки состояния конкурентной среды субъектами предпринимательской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установления наличия и уровня административных барьеров и их оценки субъектами предпринимательской деятельности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удовлетворенности потребителей качеством товаров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работ и услуг на товарных рынках субъекта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состоянием ценовой конкуренции</w:t>
      </w:r>
      <w:r>
        <w:rPr>
          <w:rtl w:val="0"/>
          <w:lang w:val="ru-RU"/>
        </w:rPr>
        <w:t>;</w:t>
      </w:r>
    </w:p>
    <w:p>
      <w:pPr>
        <w:pStyle w:val="ConsPlusNormal"/>
        <w:ind w:firstLine="540"/>
        <w:jc w:val="both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иные критерии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ConsPlusNormal"/>
        <w:spacing w:line="360" w:lineRule="auto"/>
        <w:ind w:firstLine="540"/>
        <w:jc w:val="both"/>
      </w:pPr>
      <w:r>
        <w:rPr>
          <w:rtl w:val="0"/>
          <w:lang w:val="ru-RU"/>
        </w:rPr>
        <w:t xml:space="preserve">2. </w:t>
      </w:r>
      <w:r>
        <w:rPr>
          <w:rStyle w:val="Нет"/>
          <w:sz w:val="28"/>
          <w:szCs w:val="28"/>
          <w:rtl w:val="0"/>
          <w:lang w:val="ru-RU"/>
        </w:rPr>
        <w:t xml:space="preserve">В соответствии с пунктом </w:t>
      </w:r>
      <w:r>
        <w:rPr>
          <w:rStyle w:val="Нет"/>
          <w:sz w:val="28"/>
          <w:szCs w:val="28"/>
          <w:rtl w:val="0"/>
          <w:lang w:val="ru-RU"/>
        </w:rPr>
        <w:t xml:space="preserve">9.1. </w:t>
      </w:r>
      <w:r>
        <w:rPr>
          <w:rStyle w:val="Нет"/>
          <w:sz w:val="28"/>
          <w:szCs w:val="28"/>
          <w:rtl w:val="0"/>
          <w:lang w:val="ru-RU"/>
        </w:rPr>
        <w:t xml:space="preserve">приказа ФАС № </w:t>
      </w:r>
      <w:r>
        <w:rPr>
          <w:rStyle w:val="Нет"/>
          <w:sz w:val="28"/>
          <w:szCs w:val="28"/>
          <w:rtl w:val="0"/>
          <w:lang w:val="ru-RU"/>
        </w:rPr>
        <w:t xml:space="preserve">220 </w:t>
      </w:r>
      <w:r>
        <w:rPr>
          <w:rStyle w:val="Нет"/>
          <w:sz w:val="28"/>
          <w:szCs w:val="28"/>
          <w:rtl w:val="0"/>
          <w:lang w:val="ru-RU"/>
        </w:rPr>
        <w:t>оценка состояния конкуренции на товарном рынке включает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ConsPlusNormal"/>
        <w:spacing w:line="360" w:lineRule="auto"/>
        <w:ind w:firstLine="540"/>
        <w:jc w:val="both"/>
      </w:pP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заключение о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 какому виду рынков относится рассматриваемый товарный рынок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к рынку с развитой конкуренцией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 рынку с недостаточно развитой конкуренцией или к рынку с неразвитой конкуренцией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ConsPlusNormal"/>
        <w:spacing w:line="360" w:lineRule="auto"/>
        <w:ind w:firstLine="540"/>
        <w:jc w:val="both"/>
      </w:pPr>
      <w:r>
        <w:rPr>
          <w:rStyle w:val="Нет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оценку перспективы изменения конкуренции на рассматриваемом товарном рынке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 случаях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предусмотренных </w:t>
      </w:r>
      <w:r>
        <w:rPr>
          <w:rStyle w:val="Нет"/>
          <w:color w:val="0000ff"/>
          <w:sz w:val="28"/>
          <w:szCs w:val="28"/>
          <w:u w:color="0000ff"/>
          <w:rtl w:val="0"/>
          <w:lang w:val="ru-RU"/>
        </w:rPr>
        <w:t xml:space="preserve">подпунктами </w:t>
      </w:r>
      <w:r>
        <w:rPr>
          <w:rStyle w:val="Нет"/>
          <w:color w:val="0000ff"/>
          <w:sz w:val="28"/>
          <w:szCs w:val="28"/>
          <w:u w:color="0000ff"/>
          <w:rtl w:val="0"/>
          <w:lang w:val="ru-RU"/>
        </w:rPr>
        <w:t>"</w:t>
      </w:r>
      <w:r>
        <w:rPr>
          <w:rStyle w:val="Нет"/>
          <w:color w:val="0000ff"/>
          <w:sz w:val="28"/>
          <w:szCs w:val="28"/>
          <w:u w:color="0000ff"/>
          <w:rtl w:val="0"/>
          <w:lang w:val="ru-RU"/>
        </w:rPr>
        <w:t>б</w:t>
      </w:r>
      <w:r>
        <w:rPr>
          <w:rStyle w:val="Нет"/>
          <w:color w:val="0000ff"/>
          <w:sz w:val="28"/>
          <w:szCs w:val="28"/>
          <w:u w:color="0000ff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 xml:space="preserve"> и </w:t>
      </w:r>
      <w:r>
        <w:rPr>
          <w:rStyle w:val="Нет"/>
          <w:color w:val="0000ff"/>
          <w:sz w:val="28"/>
          <w:szCs w:val="28"/>
          <w:u w:color="0000ff"/>
          <w:rtl w:val="0"/>
          <w:lang w:val="ru-RU"/>
        </w:rPr>
        <w:t>"</w:t>
      </w:r>
      <w:r>
        <w:rPr>
          <w:rStyle w:val="Нет"/>
          <w:color w:val="0000ff"/>
          <w:sz w:val="28"/>
          <w:szCs w:val="28"/>
          <w:u w:color="0000ff"/>
          <w:rtl w:val="0"/>
          <w:lang w:val="ru-RU"/>
        </w:rPr>
        <w:t>в</w:t>
      </w:r>
      <w:r>
        <w:rPr>
          <w:rStyle w:val="Нет"/>
          <w:color w:val="0000ff"/>
          <w:sz w:val="28"/>
          <w:szCs w:val="28"/>
          <w:u w:color="0000ff"/>
          <w:rtl w:val="0"/>
          <w:lang w:val="ru-RU"/>
        </w:rPr>
        <w:t>"</w:t>
      </w:r>
      <w:r>
        <w:rPr>
          <w:rStyle w:val="Нет"/>
          <w:sz w:val="28"/>
          <w:szCs w:val="28"/>
          <w:rtl w:val="0"/>
          <w:lang w:val="ru-RU"/>
        </w:rPr>
        <w:t xml:space="preserve"> пункта </w:t>
      </w:r>
      <w:r>
        <w:rPr>
          <w:rStyle w:val="Нет"/>
          <w:sz w:val="28"/>
          <w:szCs w:val="28"/>
          <w:rtl w:val="0"/>
          <w:lang w:val="ru-RU"/>
        </w:rPr>
        <w:t>1.1).</w:t>
      </w:r>
    </w:p>
    <w:p>
      <w:pPr>
        <w:pStyle w:val="ConsPlusNormal"/>
        <w:spacing w:line="360" w:lineRule="auto"/>
        <w:ind w:firstLine="540"/>
        <w:jc w:val="both"/>
      </w:pPr>
      <w:r>
        <w:rPr>
          <w:rStyle w:val="Нет"/>
          <w:sz w:val="28"/>
          <w:szCs w:val="28"/>
          <w:rtl w:val="0"/>
          <w:lang w:val="ru-RU"/>
        </w:rPr>
        <w:t>Заключение о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 какому виду рынков относится рассматриваемый товарный рынок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дается на основании показателей уровня концентрации товарного рынка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 которым относятся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коэффициент рыночной концентрации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Индекс рыночной концентрации Герфиндаля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Гиршмана 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а также степени</w:t>
      </w:r>
      <w:r>
        <w:rPr>
          <w:rStyle w:val="Нет"/>
          <w:sz w:val="28"/>
          <w:szCs w:val="28"/>
          <w:rtl w:val="0"/>
          <w:lang w:val="ru-RU"/>
        </w:rPr>
        <w:t xml:space="preserve"> преодолимости барьеров входа на товарный рынок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пункт </w:t>
      </w:r>
      <w:r>
        <w:rPr>
          <w:rStyle w:val="Нет"/>
          <w:sz w:val="28"/>
          <w:szCs w:val="28"/>
          <w:rtl w:val="0"/>
          <w:lang w:val="ru-RU"/>
        </w:rPr>
        <w:t xml:space="preserve">9.2 </w:t>
      </w:r>
      <w:r>
        <w:rPr>
          <w:rStyle w:val="Нет"/>
          <w:sz w:val="28"/>
          <w:szCs w:val="28"/>
          <w:rtl w:val="0"/>
          <w:lang w:val="ru-RU"/>
        </w:rPr>
        <w:t xml:space="preserve">приказа ФАС № </w:t>
      </w:r>
      <w:r>
        <w:rPr>
          <w:rStyle w:val="Нет"/>
          <w:sz w:val="28"/>
          <w:szCs w:val="28"/>
          <w:rtl w:val="0"/>
          <w:lang w:val="ru-RU"/>
        </w:rPr>
        <w:t>220).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Перспектива изменения конкуренции может быть оценена исходя из динамики указанных показателей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ConsPlusNormal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Если рынок является рынком с неразвитой конкуренцией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на основании показателей уровня концентрации товарного рынка можно спрогнозировать как должен измениться состав рынка для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чтобы рынок вошёл в состояние развитой конкуренции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ConsPlusNormal"/>
        <w:spacing w:line="360" w:lineRule="auto"/>
        <w:ind w:firstLine="540"/>
        <w:jc w:val="both"/>
      </w:pPr>
      <w:r>
        <w:rPr>
          <w:rStyle w:val="Нет"/>
          <w:sz w:val="28"/>
          <w:szCs w:val="28"/>
          <w:rtl w:val="0"/>
          <w:lang w:val="ru-RU"/>
        </w:rPr>
        <w:t>Именно на развитие конкуренции в перспективе должны быть направлены мероприятия дорожной карты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Следовательно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Стандарт должен содержать показатели на основании которых можно было бы спрогнозировать перспективу такого развития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Степень эффективности мероприятий дорожной карты должна измеряться динамикой таких показателей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ConsPlusNormal"/>
        <w:spacing w:line="360" w:lineRule="auto"/>
        <w:ind w:firstLine="540"/>
        <w:jc w:val="both"/>
      </w:pPr>
      <w:r>
        <w:rPr>
          <w:rStyle w:val="Нет"/>
          <w:sz w:val="28"/>
          <w:szCs w:val="28"/>
          <w:rtl w:val="0"/>
          <w:lang w:val="ru-RU"/>
        </w:rPr>
        <w:t>Целевые показатели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предусмотренные Стандартом на сегодняшний день  не отражают ни состояние рынка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ни степень эффективности мероприятий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ConsPlusNormal"/>
        <w:spacing w:line="360" w:lineRule="auto"/>
        <w:ind w:firstLine="540"/>
        <w:jc w:val="both"/>
      </w:pPr>
      <w:r>
        <w:rPr>
          <w:rStyle w:val="Нет"/>
          <w:sz w:val="28"/>
          <w:szCs w:val="28"/>
          <w:rtl w:val="0"/>
          <w:lang w:val="ru-RU"/>
        </w:rPr>
        <w:t>Как показала практика большинство целевых показателей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предусмотренных стандартом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уже достигнуты регионами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 чего может последовать вывод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на рынках развивать конкуренцию не требуется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Однако такие выводы не будут соответствовать действительности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ConsPlusNormal"/>
        <w:spacing w:line="360" w:lineRule="auto"/>
        <w:ind w:firstLine="540"/>
        <w:jc w:val="both"/>
      </w:pPr>
      <w:r>
        <w:rPr>
          <w:rStyle w:val="Нет"/>
          <w:sz w:val="28"/>
          <w:szCs w:val="28"/>
          <w:rtl w:val="0"/>
          <w:lang w:val="ru-RU"/>
        </w:rPr>
        <w:t>Полагаю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при разработке мероприятий </w:t>
      </w:r>
      <w:r>
        <w:rPr>
          <w:rStyle w:val="Нет"/>
          <w:sz w:val="28"/>
          <w:szCs w:val="28"/>
          <w:rtl w:val="0"/>
          <w:lang w:val="ru-RU"/>
        </w:rPr>
        <w:t xml:space="preserve">по содействию развитию конкуренции </w:t>
      </w:r>
      <w:r>
        <w:rPr>
          <w:rStyle w:val="Нет"/>
          <w:sz w:val="28"/>
          <w:szCs w:val="28"/>
          <w:rtl w:val="0"/>
          <w:lang w:val="ru-RU"/>
        </w:rPr>
        <w:t>как на социально значимых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так и на приоритетных рынках уполномоченный орган должен располагать информацией </w:t>
      </w:r>
      <w:r>
        <w:rPr>
          <w:rStyle w:val="Нет"/>
          <w:sz w:val="28"/>
          <w:szCs w:val="28"/>
          <w:rtl w:val="0"/>
          <w:lang w:val="ru-RU"/>
        </w:rPr>
        <w:t xml:space="preserve">как </w:t>
      </w:r>
      <w:r>
        <w:rPr>
          <w:rStyle w:val="Нет"/>
          <w:sz w:val="28"/>
          <w:szCs w:val="28"/>
          <w:rtl w:val="0"/>
          <w:lang w:val="ru-RU"/>
        </w:rPr>
        <w:t>об уровне концентрации</w:t>
      </w:r>
      <w:r>
        <w:rPr>
          <w:rStyle w:val="Нет"/>
          <w:sz w:val="28"/>
          <w:szCs w:val="28"/>
          <w:rtl w:val="0"/>
          <w:lang w:val="ru-RU"/>
        </w:rPr>
        <w:t xml:space="preserve"> такого</w:t>
      </w:r>
      <w:r>
        <w:rPr>
          <w:rStyle w:val="Нет"/>
          <w:sz w:val="28"/>
          <w:szCs w:val="28"/>
          <w:rtl w:val="0"/>
          <w:lang w:val="ru-RU"/>
        </w:rPr>
        <w:t xml:space="preserve"> рынка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так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 о возможностях</w:t>
      </w:r>
      <w:r>
        <w:rPr>
          <w:rStyle w:val="Нет"/>
          <w:sz w:val="28"/>
          <w:szCs w:val="28"/>
          <w:rtl w:val="0"/>
          <w:lang w:val="ru-RU"/>
        </w:rPr>
        <w:t xml:space="preserve"> преодолимости барьеров входа на товарный рынок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ConsPlusNormal"/>
        <w:spacing w:line="360" w:lineRule="auto"/>
        <w:ind w:firstLine="540"/>
        <w:jc w:val="both"/>
      </w:pPr>
      <w:r>
        <w:rPr>
          <w:rStyle w:val="Нет"/>
          <w:sz w:val="28"/>
          <w:szCs w:val="28"/>
          <w:rtl w:val="0"/>
          <w:lang w:val="ru-RU"/>
        </w:rPr>
        <w:t xml:space="preserve">мероприятия </w:t>
      </w:r>
      <w:r>
        <w:rPr>
          <w:rStyle w:val="Нет"/>
          <w:sz w:val="28"/>
          <w:szCs w:val="28"/>
          <w:rtl w:val="0"/>
          <w:lang w:val="ru-RU"/>
        </w:rPr>
        <w:t xml:space="preserve">дорожной карты </w:t>
      </w:r>
      <w:r>
        <w:rPr>
          <w:rStyle w:val="Нет"/>
          <w:sz w:val="28"/>
          <w:szCs w:val="28"/>
          <w:rtl w:val="0"/>
          <w:lang w:val="ru-RU"/>
        </w:rPr>
        <w:t xml:space="preserve">обязательно должны </w:t>
      </w:r>
      <w:r>
        <w:rPr>
          <w:rStyle w:val="Нет"/>
          <w:sz w:val="28"/>
          <w:szCs w:val="28"/>
          <w:rtl w:val="0"/>
          <w:lang w:val="ru-RU"/>
        </w:rPr>
        <w:t>оцениваться с точки зрения создания условий для</w:t>
      </w:r>
      <w:r>
        <w:rPr>
          <w:rStyle w:val="Нет"/>
          <w:sz w:val="28"/>
          <w:szCs w:val="28"/>
          <w:rtl w:val="0"/>
          <w:lang w:val="ru-RU"/>
        </w:rPr>
        <w:t xml:space="preserve"> преодолимости барьеров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в таком случае характеристикой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свидетельствующей об улучшении условий преодолимости барьера будет являться срок </w:t>
      </w:r>
      <w:r>
        <w:rPr>
          <w:rStyle w:val="Нет"/>
          <w:sz w:val="28"/>
          <w:szCs w:val="28"/>
          <w:rtl w:val="0"/>
          <w:lang w:val="ru-RU"/>
        </w:rPr>
        <w:t xml:space="preserve"> преодолимости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качестве барьеров могут выступать различные факторы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Повлиять на преодолимость административных барьеров регионы в силах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рамках дорожной карты субъекты могут снижать преодолимость административных барьеров через совершенствование процедур по предоставлению государственных и муниципальных услуг и в первую очередь путём сокращения сроков их оказания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основании изложенного предлагаю в приложении к Стандарту в качестве целевых показателей предусмотреть для каждого рынка следующие показатели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коэффициент рыночной концентрации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Индекс рыночной концентрации Герфиндаля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Гиршмана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Срок преодолимости барьера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3.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Стандартом не предусмотрена такая особенность функционирования некоторых товарных рынков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как зависимость от смежных рынков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Возможна ситуация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при которой мероприятия по содействию развития конкуренции в отношении отдельного рынка будут неэффективны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поскольку смежные рынки одновременно развиваться не будут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Если предложение на сырьевом рынке ограничено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то никакие мероприятия не улучшат состояния конкуренции на рынке готовой продукции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 xml:space="preserve"> и наоборот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В связи с чем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наряду с перечнем приоритетных рынков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необходимо также разрабатывать перечень рынков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которые являются смежными для приоритетных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Контрольные показатели состояния конкуренции следует определять и для смежных рынков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Если контрольные показатели в предыдущем году не достигнуты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 xml:space="preserve">то такие рынки в отчетном году следует включать в приоритетные и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 xml:space="preserve">также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разрабатывать для них мероприятия по развитию конкуренции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. </w:t>
      </w:r>
    </w:p>
    <w:p>
      <w:pPr>
        <w:pStyle w:val="Normal.0"/>
      </w:pP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На основании изложенного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 xml:space="preserve">предлагаю включить в пункт 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47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Стандарта условие о том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что уполномоченный орган по результатам проведённого мониторинга включает в доклад информацию как о состоянии конкуренции на рынках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включённых в перечень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так и состоянии конкуренции на смежных рынках и перспективе развития конкуренции на рынках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включённых в перечень с учётом состояния конкуренции на смежных рынках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высока вероятность того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что смежные рынки окажутся либо на территории другого субъекта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либо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 xml:space="preserve"> являются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 xml:space="preserve"> межрегиональными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. </w:t>
      </w:r>
    </w:p>
    <w:p>
      <w:pPr>
        <w:pStyle w:val="Normal.0"/>
      </w:pP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 xml:space="preserve">Отсюда возникает ещё один проблемный вопрос 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развитие конкуренции на межрегиональных рынках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Стандарт не предусматривает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как быть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если социально значимый или приоритетный рынок является межрегиональным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рынки пассажирских перевозок по межрегиональным маршрутам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На сегодняшний день субъекты РФ слабо работают в направлении развития таких рынков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поскольку решение об открытии маршрута принимается Минтрансом РФ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Видится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что помимо региональных перченей социально значимых и приоритетных рынков необходимо утверждать перечни социально значимых и приоритетных межрегиональных рынков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с установлением соответствующих целевых показателей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соответственно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разрабатывать и реализовывать мероприятия по развитию конкуренции на таких рынках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Видится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что развитие конкуренции на таких рынках должно являться результатом совместных усилий как субъектов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так и профильных ведомств федерального уровня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>.</w:t>
      </w:r>
    </w:p>
    <w:p>
      <w:pPr>
        <w:pStyle w:val="Normal.0"/>
      </w:pP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Полагаю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что особенности разработки мероприятий по развитию межрегиональных рынков должны быть прописаны в стандарте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К таким особенностям можно отнести следующие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rPr>
          <w:sz w:val="27"/>
          <w:szCs w:val="27"/>
        </w:rPr>
      </w:pP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заключение межрегиональных соглашений о реализации мероприятий на таких рынках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rPr>
          <w:sz w:val="27"/>
          <w:szCs w:val="27"/>
        </w:rPr>
      </w:pP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Заключение субъектами соглашений с профильными ведомствами федерального уровня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rPr>
          <w:sz w:val="27"/>
          <w:szCs w:val="27"/>
        </w:rPr>
      </w:pPr>
      <w:r>
        <w:rPr>
          <w:rStyle w:val="Нет"/>
          <w:rFonts w:ascii="Times New Roman" w:hAnsi="Times New Roman" w:hint="default"/>
          <w:sz w:val="27"/>
          <w:szCs w:val="27"/>
          <w:rtl w:val="0"/>
          <w:lang w:val="ru-RU"/>
        </w:rPr>
        <w:t>Внесение субъектами предложения о включении мероприятий по развитию межрегиональных рынков в федеральную дорожную карту по развитию конкуренции</w:t>
      </w:r>
      <w:r>
        <w:rPr>
          <w:rStyle w:val="Нет"/>
          <w:rFonts w:ascii="Times New Roman" w:hAnsi="Times New Roman"/>
          <w:sz w:val="27"/>
          <w:szCs w:val="27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729"/>
        </w:tabs>
        <w:ind w:left="189" w:firstLine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329"/>
        </w:tabs>
        <w:ind w:left="789" w:firstLine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929"/>
        </w:tabs>
        <w:ind w:left="1389" w:firstLine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529"/>
        </w:tabs>
        <w:ind w:left="1989" w:firstLine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129"/>
        </w:tabs>
        <w:ind w:left="2589" w:firstLine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729"/>
        </w:tabs>
        <w:ind w:left="3189" w:firstLine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4329"/>
        </w:tabs>
        <w:ind w:left="3789" w:firstLine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4929"/>
        </w:tabs>
        <w:ind w:left="4389" w:firstLine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5529"/>
        </w:tabs>
        <w:ind w:left="4989" w:firstLine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930"/>
          </w:tabs>
          <w:ind w:left="2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530"/>
          </w:tabs>
          <w:ind w:left="8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2130"/>
          </w:tabs>
          <w:ind w:left="14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2730"/>
          </w:tabs>
          <w:ind w:left="20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3330"/>
          </w:tabs>
          <w:ind w:left="26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3930"/>
          </w:tabs>
          <w:ind w:left="32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4530"/>
          </w:tabs>
          <w:ind w:left="38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5130"/>
          </w:tabs>
          <w:ind w:left="44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5730"/>
          </w:tabs>
          <w:ind w:left="50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83"/>
          </w:tabs>
          <w:ind w:left="1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483"/>
          </w:tabs>
          <w:ind w:left="7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2083"/>
          </w:tabs>
          <w:ind w:left="13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2683"/>
          </w:tabs>
          <w:ind w:left="19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3283"/>
          </w:tabs>
          <w:ind w:left="25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3883"/>
          </w:tabs>
          <w:ind w:left="31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4483"/>
          </w:tabs>
          <w:ind w:left="37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5083"/>
          </w:tabs>
          <w:ind w:left="43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5683"/>
          </w:tabs>
          <w:ind w:left="49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709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color="0000ff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