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46" w:rsidRPr="008530FC" w:rsidRDefault="008530FC" w:rsidP="008530FC">
      <w:pPr>
        <w:pStyle w:val="2"/>
        <w:shd w:val="clear" w:color="auto" w:fill="auto"/>
        <w:spacing w:after="0" w:line="276" w:lineRule="auto"/>
        <w:ind w:right="60" w:firstLine="0"/>
        <w:jc w:val="center"/>
        <w:rPr>
          <w:b/>
        </w:rPr>
      </w:pPr>
      <w:r w:rsidRPr="008530FC">
        <w:rPr>
          <w:b/>
        </w:rPr>
        <w:t>Новации законодательства: снижение административной нагрузки с субъектов предпринимательства, изменение требований Закона о торговле</w:t>
      </w:r>
    </w:p>
    <w:p w:rsidR="008530FC" w:rsidRDefault="008530FC" w:rsidP="00AE2351">
      <w:pPr>
        <w:pStyle w:val="2"/>
        <w:shd w:val="clear" w:color="auto" w:fill="auto"/>
        <w:spacing w:after="0" w:line="360" w:lineRule="auto"/>
        <w:ind w:firstLine="709"/>
      </w:pPr>
    </w:p>
    <w:p w:rsidR="008530FC" w:rsidRPr="00424E3B" w:rsidRDefault="008530FC" w:rsidP="00424E3B">
      <w:pPr>
        <w:pStyle w:val="2"/>
        <w:shd w:val="clear" w:color="auto" w:fill="auto"/>
        <w:spacing w:after="0" w:line="360" w:lineRule="auto"/>
        <w:ind w:firstLine="709"/>
      </w:pPr>
      <w:r w:rsidRPr="00424E3B">
        <w:t>С</w:t>
      </w:r>
      <w:r w:rsidR="00AE2351" w:rsidRPr="00424E3B">
        <w:t xml:space="preserve"> 4 июля 2016 года </w:t>
      </w:r>
      <w:r w:rsidR="00F11ECE">
        <w:t xml:space="preserve">внесены изменения в </w:t>
      </w:r>
      <w:r w:rsidR="00D8045C" w:rsidRPr="00424E3B">
        <w:t xml:space="preserve">Федеральный закон «О защите конкуренции» и </w:t>
      </w:r>
      <w:r w:rsidR="00F11ECE">
        <w:t xml:space="preserve">в </w:t>
      </w:r>
      <w:r w:rsidR="00F11ECE" w:rsidRPr="00424E3B">
        <w:t>Федеральный закон «Об основах государственного регулирования торговой деятельности в Российской Федерации</w:t>
      </w:r>
      <w:r w:rsidR="00F11ECE">
        <w:t xml:space="preserve">». </w:t>
      </w:r>
      <w:r w:rsidRPr="00424E3B">
        <w:t xml:space="preserve">Внесенные изменения стали результатом реализации </w:t>
      </w:r>
      <w:r w:rsidR="00F11ECE">
        <w:t xml:space="preserve">Правительством Российской Федерации </w:t>
      </w:r>
      <w:r w:rsidRPr="00424E3B">
        <w:t>антикризисной программы</w:t>
      </w:r>
      <w:r w:rsidR="00F11ECE">
        <w:t>.</w:t>
      </w:r>
    </w:p>
    <w:p w:rsidR="00EE0854" w:rsidRPr="00424E3B" w:rsidRDefault="00EE0854" w:rsidP="00424E3B">
      <w:pPr>
        <w:pStyle w:val="2"/>
        <w:shd w:val="clear" w:color="auto" w:fill="auto"/>
        <w:spacing w:after="0" w:line="360" w:lineRule="auto"/>
        <w:ind w:firstLine="709"/>
        <w:rPr>
          <w:sz w:val="16"/>
          <w:szCs w:val="16"/>
        </w:rPr>
      </w:pPr>
    </w:p>
    <w:p w:rsidR="00D8045C" w:rsidRPr="00424E3B" w:rsidRDefault="00EE0854" w:rsidP="00424E3B">
      <w:pPr>
        <w:pStyle w:val="2"/>
        <w:shd w:val="clear" w:color="auto" w:fill="auto"/>
        <w:spacing w:after="0" w:line="360" w:lineRule="auto"/>
        <w:ind w:firstLine="709"/>
      </w:pPr>
      <w:r w:rsidRPr="00424E3B">
        <w:rPr>
          <w:b/>
        </w:rPr>
        <w:t>1.</w:t>
      </w:r>
      <w:r w:rsidR="00F11ECE">
        <w:t>Самой</w:t>
      </w:r>
      <w:r w:rsidR="00D8045C" w:rsidRPr="00424E3B">
        <w:t xml:space="preserve"> существенн</w:t>
      </w:r>
      <w:r w:rsidR="00F11ECE">
        <w:t>ой</w:t>
      </w:r>
      <w:r w:rsidR="00D8045C" w:rsidRPr="00424E3B">
        <w:t xml:space="preserve"> </w:t>
      </w:r>
      <w:r w:rsidR="00F11ECE">
        <w:t>новацией</w:t>
      </w:r>
      <w:r w:rsidR="00D8045C" w:rsidRPr="00424E3B">
        <w:t xml:space="preserve"> является введение иммунит</w:t>
      </w:r>
      <w:r w:rsidR="00F215A9" w:rsidRPr="00424E3B">
        <w:t>ет</w:t>
      </w:r>
      <w:r w:rsidR="00F11ECE">
        <w:t>а</w:t>
      </w:r>
      <w:r w:rsidR="00F215A9" w:rsidRPr="00424E3B">
        <w:t xml:space="preserve"> для определенных </w:t>
      </w:r>
      <w:r w:rsidR="00D8045C" w:rsidRPr="00424E3B">
        <w:t xml:space="preserve">хозяйствующих субъектов в отношении злоупотребления ими доминирующим положением и заключения отдельных </w:t>
      </w:r>
      <w:proofErr w:type="spellStart"/>
      <w:r w:rsidR="00D8045C" w:rsidRPr="00424E3B">
        <w:t>антиконкурентных</w:t>
      </w:r>
      <w:proofErr w:type="spellEnd"/>
      <w:r w:rsidR="00D8045C" w:rsidRPr="00424E3B">
        <w:t xml:space="preserve"> соглашений.</w:t>
      </w:r>
    </w:p>
    <w:p w:rsidR="00D8045C" w:rsidRPr="00424E3B" w:rsidRDefault="001450D9" w:rsidP="00424E3B">
      <w:pPr>
        <w:pStyle w:val="2"/>
        <w:shd w:val="clear" w:color="auto" w:fill="auto"/>
        <w:spacing w:after="0" w:line="360" w:lineRule="auto"/>
        <w:ind w:firstLine="709"/>
      </w:pPr>
      <w:r>
        <w:t>Введено</w:t>
      </w:r>
      <w:r w:rsidR="00D8045C" w:rsidRPr="00424E3B">
        <w:t xml:space="preserve"> правило, в соответствии с которым не может быть признано </w:t>
      </w:r>
      <w:r w:rsidR="009D02DC" w:rsidRPr="00424E3B">
        <w:t xml:space="preserve">монопольным </w:t>
      </w:r>
      <w:r w:rsidR="00D8045C" w:rsidRPr="00424E3B">
        <w:t xml:space="preserve">положение хозяйствующего субъекта — </w:t>
      </w:r>
      <w:r w:rsidR="00D8045C" w:rsidRPr="00424E3B">
        <w:rPr>
          <w:rStyle w:val="11"/>
        </w:rPr>
        <w:t>юридического ли</w:t>
      </w:r>
      <w:r w:rsidR="009D02DC" w:rsidRPr="00424E3B">
        <w:rPr>
          <w:rStyle w:val="11"/>
        </w:rPr>
        <w:t>ц</w:t>
      </w:r>
      <w:r w:rsidR="00D8045C" w:rsidRPr="00424E3B">
        <w:rPr>
          <w:rStyle w:val="11"/>
        </w:rPr>
        <w:t>а,</w:t>
      </w:r>
      <w:r w:rsidR="00D8045C" w:rsidRPr="00424E3B">
        <w:t xml:space="preserve"> учредителем (участником) которого являются одно </w:t>
      </w:r>
      <w:r w:rsidR="009D02DC" w:rsidRPr="00424E3B">
        <w:t xml:space="preserve">или несколько </w:t>
      </w:r>
      <w:r w:rsidR="00D8045C" w:rsidRPr="00424E3B">
        <w:t>физическ</w:t>
      </w:r>
      <w:r w:rsidR="009D02DC" w:rsidRPr="00424E3B">
        <w:t>их лиц</w:t>
      </w:r>
      <w:r w:rsidR="00D8045C" w:rsidRPr="00424E3B">
        <w:t xml:space="preserve"> (в том числе зарегистрированное в качестве индивидуального предпринимателя), если выручка от реализации товаров за последний календарный год такого хозяйствующего субъекта не превышает четыреста миллионов рублей.</w:t>
      </w:r>
    </w:p>
    <w:p w:rsidR="00D8045C" w:rsidRPr="00424E3B" w:rsidRDefault="00D8045C" w:rsidP="00424E3B">
      <w:pPr>
        <w:pStyle w:val="2"/>
        <w:shd w:val="clear" w:color="auto" w:fill="auto"/>
        <w:spacing w:after="0" w:line="360" w:lineRule="auto"/>
        <w:ind w:firstLine="709"/>
      </w:pPr>
      <w:r w:rsidRPr="00424E3B">
        <w:t>Вместе с тем, для такого правила установлены исключения, в соответствии с которыми иммунитеты не предоставляются:</w:t>
      </w:r>
    </w:p>
    <w:p w:rsidR="00D8045C" w:rsidRPr="00424E3B" w:rsidRDefault="00D8045C" w:rsidP="00424E3B">
      <w:pPr>
        <w:pStyle w:val="2"/>
        <w:numPr>
          <w:ilvl w:val="0"/>
          <w:numId w:val="2"/>
        </w:numPr>
        <w:shd w:val="clear" w:color="auto" w:fill="auto"/>
        <w:tabs>
          <w:tab w:val="left" w:pos="1030"/>
          <w:tab w:val="left" w:pos="1118"/>
        </w:tabs>
        <w:spacing w:after="0" w:line="360" w:lineRule="auto"/>
        <w:ind w:firstLine="709"/>
      </w:pPr>
      <w:r w:rsidRPr="00424E3B">
        <w:t xml:space="preserve">хозяйствующим субъектам, </w:t>
      </w:r>
      <w:proofErr w:type="spellStart"/>
      <w:r w:rsidR="00F86184" w:rsidRPr="00424E3B">
        <w:t>аффилированным</w:t>
      </w:r>
      <w:proofErr w:type="spellEnd"/>
      <w:r w:rsidR="00F86184" w:rsidRPr="00424E3B">
        <w:t xml:space="preserve"> с</w:t>
      </w:r>
      <w:r w:rsidRPr="00424E3B">
        <w:t xml:space="preserve"> другим хозяйствующим субъектом или другими хозяйствующими субъектами</w:t>
      </w:r>
      <w:r w:rsidR="00F86184" w:rsidRPr="00424E3B">
        <w:t>;</w:t>
      </w:r>
      <w:r w:rsidRPr="00424E3B">
        <w:t xml:space="preserve"> </w:t>
      </w:r>
    </w:p>
    <w:p w:rsidR="00D8045C" w:rsidRPr="00424E3B" w:rsidRDefault="00D8045C" w:rsidP="00424E3B">
      <w:pPr>
        <w:pStyle w:val="2"/>
        <w:numPr>
          <w:ilvl w:val="0"/>
          <w:numId w:val="2"/>
        </w:numPr>
        <w:shd w:val="clear" w:color="auto" w:fill="auto"/>
        <w:tabs>
          <w:tab w:val="left" w:pos="1030"/>
        </w:tabs>
        <w:spacing w:after="0" w:line="360" w:lineRule="auto"/>
        <w:ind w:firstLine="709"/>
        <w:jc w:val="left"/>
      </w:pPr>
      <w:r w:rsidRPr="00424E3B">
        <w:t>финансовым организациям;</w:t>
      </w:r>
    </w:p>
    <w:p w:rsidR="00D8045C" w:rsidRPr="00424E3B" w:rsidRDefault="00D8045C" w:rsidP="00424E3B">
      <w:pPr>
        <w:pStyle w:val="2"/>
        <w:numPr>
          <w:ilvl w:val="0"/>
          <w:numId w:val="2"/>
        </w:numPr>
        <w:shd w:val="clear" w:color="auto" w:fill="auto"/>
        <w:tabs>
          <w:tab w:val="left" w:pos="1030"/>
        </w:tabs>
        <w:spacing w:after="0" w:line="360" w:lineRule="auto"/>
        <w:ind w:firstLine="709"/>
      </w:pPr>
      <w:r w:rsidRPr="00424E3B">
        <w:t>субъектам естественных монополий на товарном рынке, находящемся в состоянии естественной монополии;</w:t>
      </w:r>
    </w:p>
    <w:p w:rsidR="00D8045C" w:rsidRPr="00424E3B" w:rsidRDefault="00D8045C" w:rsidP="00424E3B">
      <w:pPr>
        <w:pStyle w:val="2"/>
        <w:numPr>
          <w:ilvl w:val="0"/>
          <w:numId w:val="2"/>
        </w:numPr>
        <w:shd w:val="clear" w:color="auto" w:fill="auto"/>
        <w:tabs>
          <w:tab w:val="left" w:pos="1030"/>
        </w:tabs>
        <w:spacing w:after="0" w:line="360" w:lineRule="auto"/>
        <w:ind w:firstLine="709"/>
      </w:pPr>
      <w:r w:rsidRPr="00424E3B">
        <w:t>хозяйствующим субъектам, имеющим в качестве учредителей или участников хозяйствующих субъектов — юридических лиц;</w:t>
      </w:r>
    </w:p>
    <w:p w:rsidR="00D8045C" w:rsidRPr="00424E3B" w:rsidRDefault="00D8045C" w:rsidP="00424E3B">
      <w:pPr>
        <w:pStyle w:val="2"/>
        <w:numPr>
          <w:ilvl w:val="0"/>
          <w:numId w:val="2"/>
        </w:numPr>
        <w:shd w:val="clear" w:color="auto" w:fill="auto"/>
        <w:tabs>
          <w:tab w:val="left" w:pos="1030"/>
        </w:tabs>
        <w:spacing w:after="0" w:line="360" w:lineRule="auto"/>
        <w:ind w:firstLine="709"/>
      </w:pPr>
      <w:r w:rsidRPr="00424E3B">
        <w:t xml:space="preserve">хозяйственным обществам, в уставном капитале которых имеется доля участия Российской Федерации, субъекта Российской Федерации и </w:t>
      </w:r>
      <w:r w:rsidRPr="00424E3B">
        <w:lastRenderedPageBreak/>
        <w:t>муниципального образования.</w:t>
      </w:r>
    </w:p>
    <w:p w:rsidR="00D8045C" w:rsidRPr="00424E3B" w:rsidRDefault="00D8045C" w:rsidP="00424E3B">
      <w:pPr>
        <w:pStyle w:val="2"/>
        <w:shd w:val="clear" w:color="auto" w:fill="auto"/>
        <w:spacing w:after="0" w:line="360" w:lineRule="auto"/>
        <w:ind w:firstLine="709"/>
      </w:pPr>
      <w:proofErr w:type="gramStart"/>
      <w:r w:rsidRPr="00424E3B">
        <w:t xml:space="preserve">Также не может быть признано </w:t>
      </w:r>
      <w:r w:rsidR="00F86184" w:rsidRPr="00424E3B">
        <w:t>монопольное</w:t>
      </w:r>
      <w:r w:rsidRPr="00424E3B">
        <w:t xml:space="preserve"> </w:t>
      </w:r>
      <w:r w:rsidR="001450D9">
        <w:t xml:space="preserve">положение </w:t>
      </w:r>
      <w:r w:rsidRPr="00424E3B">
        <w:rPr>
          <w:rStyle w:val="11"/>
        </w:rPr>
        <w:t>индивидуального предпринимателя,</w:t>
      </w:r>
      <w:r w:rsidR="001450D9">
        <w:t xml:space="preserve"> </w:t>
      </w:r>
      <w:proofErr w:type="spellStart"/>
      <w:r w:rsidR="001450D9">
        <w:t>не</w:t>
      </w:r>
      <w:r w:rsidR="00F86184" w:rsidRPr="00424E3B">
        <w:t>аффилированного</w:t>
      </w:r>
      <w:proofErr w:type="spellEnd"/>
      <w:r w:rsidRPr="00424E3B">
        <w:t xml:space="preserve"> с другим хозяйствующим субъектом или другими хозяйствующими субъектами, если выручка от реализации товаров такого индивидуального предпринимателя за последний календарный год не превышает четыреста миллионов рублей, а также индивидуального предпринимателя, </w:t>
      </w:r>
      <w:proofErr w:type="spellStart"/>
      <w:r w:rsidR="00F86184" w:rsidRPr="00424E3B">
        <w:t>аффилированного</w:t>
      </w:r>
      <w:proofErr w:type="spellEnd"/>
      <w:r w:rsidR="00F86184" w:rsidRPr="00424E3B">
        <w:t xml:space="preserve"> с </w:t>
      </w:r>
      <w:r w:rsidRPr="00424E3B">
        <w:t xml:space="preserve">хозяйствующим субъектом </w:t>
      </w:r>
      <w:r w:rsidR="00F86184" w:rsidRPr="00424E3B">
        <w:t>или</w:t>
      </w:r>
      <w:r w:rsidRPr="00424E3B">
        <w:t xml:space="preserve"> с хозяйствующими субъектами, при условии, что суммарная выручка от реализации товаров таких хозяйствующих субъектов за последний</w:t>
      </w:r>
      <w:proofErr w:type="gramEnd"/>
      <w:r w:rsidRPr="00424E3B">
        <w:t xml:space="preserve"> календарный год не превышает четыреста миллионов рублей</w:t>
      </w:r>
      <w:r w:rsidR="00F215A9" w:rsidRPr="00424E3B">
        <w:t>.</w:t>
      </w:r>
    </w:p>
    <w:p w:rsidR="00D8045C" w:rsidRPr="00424E3B" w:rsidRDefault="001450D9" w:rsidP="00424E3B">
      <w:pPr>
        <w:pStyle w:val="2"/>
        <w:shd w:val="clear" w:color="auto" w:fill="auto"/>
        <w:spacing w:after="0" w:line="360" w:lineRule="auto"/>
        <w:ind w:firstLine="709"/>
      </w:pPr>
      <w:r>
        <w:t>В</w:t>
      </w:r>
      <w:r w:rsidR="00D8045C" w:rsidRPr="00424E3B">
        <w:t>н</w:t>
      </w:r>
      <w:r w:rsidR="00F86184" w:rsidRPr="00424E3B">
        <w:t>есены</w:t>
      </w:r>
      <w:r w:rsidR="00D8045C" w:rsidRPr="00424E3B">
        <w:t xml:space="preserve"> изменения в статью </w:t>
      </w:r>
      <w:r w:rsidR="008E2598" w:rsidRPr="00424E3B">
        <w:t xml:space="preserve">12 Закона о защите конкуренции, определяющей критерии допустимости </w:t>
      </w:r>
      <w:r w:rsidR="00FC3DB2" w:rsidRPr="00424E3B">
        <w:t xml:space="preserve">«вертикальных» </w:t>
      </w:r>
      <w:r w:rsidR="008E2598" w:rsidRPr="00424E3B">
        <w:t>соглашений.</w:t>
      </w:r>
    </w:p>
    <w:p w:rsidR="008E2598" w:rsidRPr="00424E3B" w:rsidRDefault="008E2598" w:rsidP="00424E3B">
      <w:pPr>
        <w:pStyle w:val="2"/>
        <w:shd w:val="clear" w:color="auto" w:fill="auto"/>
        <w:spacing w:after="0" w:line="360" w:lineRule="auto"/>
        <w:ind w:firstLine="709"/>
      </w:pPr>
      <w:r w:rsidRPr="00424E3B">
        <w:t xml:space="preserve">Теперь не может быть признано </w:t>
      </w:r>
      <w:proofErr w:type="spellStart"/>
      <w:r w:rsidRPr="00424E3B">
        <w:t>антиконкурентным</w:t>
      </w:r>
      <w:proofErr w:type="spellEnd"/>
      <w:r w:rsidR="00FC3DB2" w:rsidRPr="00424E3B">
        <w:t xml:space="preserve"> «вертикальное»</w:t>
      </w:r>
      <w:r w:rsidRPr="00424E3B">
        <w:t xml:space="preserve"> соглашение если:</w:t>
      </w:r>
    </w:p>
    <w:p w:rsidR="008E2598" w:rsidRPr="00424E3B" w:rsidRDefault="008E2598" w:rsidP="00424E3B">
      <w:pPr>
        <w:pStyle w:val="2"/>
        <w:shd w:val="clear" w:color="auto" w:fill="auto"/>
        <w:spacing w:after="0" w:line="360" w:lineRule="auto"/>
        <w:ind w:firstLine="709"/>
      </w:pPr>
      <w:r w:rsidRPr="00424E3B">
        <w:t>это договор коммерческой концессии;</w:t>
      </w:r>
    </w:p>
    <w:p w:rsidR="008E2598" w:rsidRPr="00424E3B" w:rsidRDefault="008E2598" w:rsidP="00424E3B">
      <w:pPr>
        <w:pStyle w:val="2"/>
        <w:shd w:val="clear" w:color="auto" w:fill="auto"/>
        <w:spacing w:after="0" w:line="360" w:lineRule="auto"/>
        <w:ind w:firstLine="709"/>
      </w:pPr>
      <w:r w:rsidRPr="00424E3B">
        <w:t>это соглашение заключено между хозяйствующими субъектами, доля которых на рынке не превышает 20%</w:t>
      </w:r>
      <w:r w:rsidR="00C236E7">
        <w:t>.</w:t>
      </w:r>
    </w:p>
    <w:p w:rsidR="00FC3DB2" w:rsidRPr="00424E3B" w:rsidRDefault="00C236E7" w:rsidP="00424E3B">
      <w:pPr>
        <w:pStyle w:val="2"/>
        <w:shd w:val="clear" w:color="auto" w:fill="auto"/>
        <w:spacing w:after="0" w:line="360" w:lineRule="auto"/>
        <w:ind w:firstLine="709"/>
      </w:pPr>
      <w:r>
        <w:t>А также не мо</w:t>
      </w:r>
      <w:r w:rsidR="001F528A">
        <w:t>гу</w:t>
      </w:r>
      <w:r>
        <w:t xml:space="preserve">т быть </w:t>
      </w:r>
      <w:r w:rsidR="001F528A">
        <w:t>пр</w:t>
      </w:r>
      <w:r>
        <w:t>изнан</w:t>
      </w:r>
      <w:r w:rsidR="001F528A">
        <w:t>ы</w:t>
      </w:r>
      <w:r>
        <w:t xml:space="preserve"> </w:t>
      </w:r>
      <w:proofErr w:type="spellStart"/>
      <w:r>
        <w:t>антиконкурентным</w:t>
      </w:r>
      <w:r w:rsidR="001F528A">
        <w:t>и</w:t>
      </w:r>
      <w:proofErr w:type="spellEnd"/>
      <w:r>
        <w:t xml:space="preserve"> </w:t>
      </w:r>
      <w:r w:rsidR="00FC3DB2" w:rsidRPr="00424E3B">
        <w:t>соглашени</w:t>
      </w:r>
      <w:r w:rsidR="001F528A">
        <w:t>я о создании препятствии доступу на рынок, о навязывании невыгодных условий договора, об установлении различных цен на один и тот же товар в случае, если соглашение</w:t>
      </w:r>
      <w:r w:rsidR="00FC3DB2" w:rsidRPr="00424E3B">
        <w:t xml:space="preserve"> заключено между хозяйствующими субъектами, выручка которых за последний календарный год не превышает четыреста миллионов рублей.</w:t>
      </w:r>
    </w:p>
    <w:p w:rsidR="00FC3DB2" w:rsidRPr="00424E3B" w:rsidRDefault="00FC3DB2" w:rsidP="00424E3B">
      <w:pPr>
        <w:pStyle w:val="2"/>
        <w:shd w:val="clear" w:color="auto" w:fill="auto"/>
        <w:spacing w:after="0" w:line="360" w:lineRule="auto"/>
        <w:ind w:firstLine="709"/>
      </w:pPr>
      <w:r w:rsidRPr="00424E3B">
        <w:t>В результате вступивших в силу изменений Закона о защите конкуренции Курганским УФАС России прекращено дело в отношен</w:t>
      </w:r>
      <w:proofErr w:type="gramStart"/>
      <w:r w:rsidRPr="00424E3B">
        <w:t>ии ООО</w:t>
      </w:r>
      <w:proofErr w:type="gramEnd"/>
      <w:r w:rsidRPr="00424E3B">
        <w:t xml:space="preserve"> «Дом</w:t>
      </w:r>
      <w:r w:rsidR="00B43CFA">
        <w:t>-</w:t>
      </w:r>
      <w:r w:rsidRPr="00424E3B">
        <w:t xml:space="preserve">сервис плюс» по факту установления необоснованной платы за размещение на полигоне отходов, а также прекращена работа по установлению факта сговора при заключении </w:t>
      </w:r>
      <w:r w:rsidR="00B43CFA">
        <w:t xml:space="preserve">Курганским заводом дорожных машин </w:t>
      </w:r>
      <w:proofErr w:type="spellStart"/>
      <w:r w:rsidRPr="00424E3B">
        <w:t>дистрибьютерских</w:t>
      </w:r>
      <w:proofErr w:type="spellEnd"/>
      <w:r w:rsidRPr="00424E3B">
        <w:t xml:space="preserve"> соглашений на рынк</w:t>
      </w:r>
      <w:r w:rsidR="00B43CFA">
        <w:t xml:space="preserve">е </w:t>
      </w:r>
      <w:proofErr w:type="spellStart"/>
      <w:r w:rsidR="00B43CFA">
        <w:t>автогрудонаторов</w:t>
      </w:r>
      <w:proofErr w:type="spellEnd"/>
      <w:r w:rsidR="00B43CFA">
        <w:t xml:space="preserve">, </w:t>
      </w:r>
    </w:p>
    <w:p w:rsidR="00EE0854" w:rsidRPr="00424E3B" w:rsidRDefault="00EE0854" w:rsidP="00424E3B">
      <w:pPr>
        <w:pStyle w:val="2"/>
        <w:shd w:val="clear" w:color="auto" w:fill="auto"/>
        <w:spacing w:after="0" w:line="360" w:lineRule="auto"/>
        <w:ind w:firstLine="709"/>
        <w:jc w:val="left"/>
      </w:pPr>
    </w:p>
    <w:p w:rsidR="00D8045C" w:rsidRPr="00424E3B" w:rsidRDefault="00EE0854" w:rsidP="001450D9">
      <w:pPr>
        <w:pStyle w:val="2"/>
        <w:shd w:val="clear" w:color="auto" w:fill="auto"/>
        <w:tabs>
          <w:tab w:val="left" w:pos="1134"/>
        </w:tabs>
        <w:spacing w:after="0" w:line="360" w:lineRule="auto"/>
        <w:ind w:firstLine="0"/>
      </w:pPr>
      <w:r w:rsidRPr="00424E3B">
        <w:tab/>
      </w:r>
      <w:r w:rsidRPr="00424E3B">
        <w:rPr>
          <w:b/>
        </w:rPr>
        <w:t>2.</w:t>
      </w:r>
      <w:r w:rsidR="001450D9">
        <w:rPr>
          <w:b/>
        </w:rPr>
        <w:t xml:space="preserve"> </w:t>
      </w:r>
      <w:r w:rsidR="00D8045C" w:rsidRPr="00424E3B">
        <w:t xml:space="preserve">С 4 июля 2016 года </w:t>
      </w:r>
      <w:r w:rsidR="00AF3E19" w:rsidRPr="00424E3B">
        <w:t>антимонопольные правила распространяются только на торговые сети и поставщиков продовольственных товаров</w:t>
      </w:r>
      <w:r w:rsidR="00D8045C" w:rsidRPr="00424E3B">
        <w:t>, выручка которых (их группы лиц, определяемой в соответствии с антимонопольным законодательством) от реализации товаров за последний календарный год не превышает четыреста миллионов рублей.</w:t>
      </w:r>
    </w:p>
    <w:p w:rsidR="00540D75" w:rsidRPr="00424E3B" w:rsidRDefault="00540D75" w:rsidP="00424E3B">
      <w:pPr>
        <w:pStyle w:val="2"/>
        <w:shd w:val="clear" w:color="auto" w:fill="auto"/>
        <w:spacing w:after="0" w:line="360" w:lineRule="auto"/>
        <w:ind w:firstLine="709"/>
      </w:pPr>
      <w:r w:rsidRPr="00424E3B">
        <w:t>Напомню, что к антимонопольным правилам относятся запреты:</w:t>
      </w:r>
    </w:p>
    <w:p w:rsidR="00540D75" w:rsidRPr="00424E3B" w:rsidRDefault="00540D75" w:rsidP="00424E3B">
      <w:pPr>
        <w:pStyle w:val="ConsPlusNormal"/>
        <w:spacing w:line="360" w:lineRule="auto"/>
        <w:ind w:firstLine="540"/>
        <w:jc w:val="both"/>
      </w:pPr>
      <w:r w:rsidRPr="00424E3B">
        <w:t>1) создавать дискриминационные условия;</w:t>
      </w:r>
    </w:p>
    <w:p w:rsidR="00540D75" w:rsidRPr="00424E3B" w:rsidRDefault="00540D75" w:rsidP="00424E3B">
      <w:pPr>
        <w:pStyle w:val="ConsPlusNormal"/>
        <w:spacing w:line="360" w:lineRule="auto"/>
        <w:ind w:firstLine="540"/>
        <w:jc w:val="both"/>
      </w:pPr>
      <w:r w:rsidRPr="00424E3B">
        <w:t>2) создавать препятствия для доступа на товарный рынок или выхода из товарного рынка других хозяйствующих субъектов;</w:t>
      </w:r>
    </w:p>
    <w:p w:rsidR="00540D75" w:rsidRPr="00424E3B" w:rsidRDefault="00540D75" w:rsidP="00424E3B">
      <w:pPr>
        <w:pStyle w:val="ConsPlusNormal"/>
        <w:spacing w:line="360" w:lineRule="auto"/>
        <w:ind w:firstLine="540"/>
        <w:jc w:val="both"/>
      </w:pPr>
      <w:r w:rsidRPr="00424E3B">
        <w:t>3) нарушать установленный нормативными правовыми актами порядок ценообразования;</w:t>
      </w:r>
    </w:p>
    <w:p w:rsidR="00540D75" w:rsidRPr="00424E3B" w:rsidRDefault="00540D75" w:rsidP="00424E3B">
      <w:pPr>
        <w:pStyle w:val="ConsPlusNormal"/>
        <w:spacing w:line="360" w:lineRule="auto"/>
        <w:ind w:firstLine="540"/>
        <w:jc w:val="both"/>
      </w:pPr>
      <w:r w:rsidRPr="00424E3B">
        <w:t>4) навязывать контрагенту:</w:t>
      </w:r>
    </w:p>
    <w:p w:rsidR="00540D75" w:rsidRPr="00424E3B" w:rsidRDefault="00540D75" w:rsidP="00424E3B">
      <w:pPr>
        <w:pStyle w:val="ConsPlusNormal"/>
        <w:spacing w:line="360" w:lineRule="auto"/>
        <w:ind w:firstLine="540"/>
        <w:jc w:val="both"/>
      </w:pPr>
      <w:bookmarkStart w:id="0" w:name="Par4"/>
      <w:bookmarkEnd w:id="0"/>
      <w:r w:rsidRPr="00424E3B">
        <w:t xml:space="preserve">а) </w:t>
      </w:r>
      <w:r w:rsidRPr="009C77B0">
        <w:rPr>
          <w:b/>
        </w:rPr>
        <w:t xml:space="preserve">условия </w:t>
      </w:r>
      <w:r w:rsidRPr="00BD2634">
        <w:rPr>
          <w:b/>
        </w:rPr>
        <w:t>о запрете на заключение договоров</w:t>
      </w:r>
      <w:r w:rsidRPr="00424E3B">
        <w:t xml:space="preserve"> поставки продовольственных товаров </w:t>
      </w:r>
      <w:r w:rsidRPr="00BD2634">
        <w:rPr>
          <w:b/>
        </w:rPr>
        <w:t>с другими хозяйствующими субъектами</w:t>
      </w:r>
      <w:r w:rsidRPr="00424E3B">
        <w:t>, осуществляющими аналогичную деятельность, а также с другими хозяйствующими субъектами на аналогичных или иных условиях;</w:t>
      </w:r>
    </w:p>
    <w:p w:rsidR="00540D75" w:rsidRPr="00424E3B" w:rsidRDefault="00540D75" w:rsidP="00424E3B">
      <w:pPr>
        <w:pStyle w:val="ConsPlusNormal"/>
        <w:spacing w:line="360" w:lineRule="auto"/>
        <w:ind w:firstLine="540"/>
        <w:jc w:val="both"/>
      </w:pPr>
      <w:r w:rsidRPr="00424E3B">
        <w:t xml:space="preserve">б) </w:t>
      </w:r>
      <w:r w:rsidRPr="00BD2634">
        <w:rPr>
          <w:b/>
        </w:rPr>
        <w:t>условия об ответственности за неисполнение обязательства хозяйствующего субъекта</w:t>
      </w:r>
      <w:r w:rsidRPr="00424E3B">
        <w:t xml:space="preserve"> о поставках продовольственных товаров </w:t>
      </w:r>
      <w:r w:rsidRPr="00BD2634">
        <w:rPr>
          <w:b/>
        </w:rPr>
        <w:t>на более выгодных условиях, чем условия для других хозяйствующих субъектов</w:t>
      </w:r>
      <w:r w:rsidRPr="00424E3B">
        <w:t>, осуществляющих аналогичную деятельность;</w:t>
      </w:r>
    </w:p>
    <w:p w:rsidR="00540D75" w:rsidRPr="00424E3B" w:rsidRDefault="00540D75" w:rsidP="00424E3B">
      <w:pPr>
        <w:pStyle w:val="ConsPlusNormal"/>
        <w:spacing w:line="360" w:lineRule="auto"/>
        <w:ind w:firstLine="540"/>
        <w:jc w:val="both"/>
      </w:pPr>
      <w:r w:rsidRPr="00424E3B">
        <w:t xml:space="preserve">в) </w:t>
      </w:r>
      <w:r w:rsidRPr="00BD2634">
        <w:rPr>
          <w:b/>
        </w:rPr>
        <w:t>условия о предоставлении хозяйствующим субъектом контрагенту сведений о заключаемых</w:t>
      </w:r>
      <w:r w:rsidRPr="00424E3B">
        <w:t xml:space="preserve"> данным хозяйствующим субъектом </w:t>
      </w:r>
      <w:r w:rsidRPr="00BD2634">
        <w:rPr>
          <w:b/>
        </w:rPr>
        <w:t>договорах с другими хозяйствующими субъектами</w:t>
      </w:r>
      <w:r w:rsidRPr="00424E3B">
        <w:t>, осуществляющими аналогичную деятельность;</w:t>
      </w:r>
    </w:p>
    <w:p w:rsidR="00540D75" w:rsidRPr="00424E3B" w:rsidRDefault="00540D75" w:rsidP="00424E3B">
      <w:pPr>
        <w:pStyle w:val="ConsPlusNormal"/>
        <w:spacing w:line="360" w:lineRule="auto"/>
        <w:ind w:firstLine="540"/>
        <w:jc w:val="both"/>
      </w:pPr>
      <w:r w:rsidRPr="00424E3B">
        <w:t xml:space="preserve">г) </w:t>
      </w:r>
      <w:r w:rsidRPr="00BD2634">
        <w:rPr>
          <w:b/>
        </w:rPr>
        <w:t>условия о снижении</w:t>
      </w:r>
      <w:r w:rsidRPr="00424E3B">
        <w:t xml:space="preserve"> хозяйствующим субъектом, осуществляющим поставки продовольственных товаров, их </w:t>
      </w:r>
      <w:r w:rsidRPr="00BD2634">
        <w:rPr>
          <w:b/>
        </w:rPr>
        <w:t>цены до</w:t>
      </w:r>
      <w:r w:rsidRPr="00424E3B">
        <w:t xml:space="preserve"> уровня, который при условии установления торговой надбавки (наценки) к их цене не превысит </w:t>
      </w:r>
      <w:r w:rsidRPr="00BD2634">
        <w:rPr>
          <w:b/>
        </w:rPr>
        <w:t>минимальную цену</w:t>
      </w:r>
      <w:r w:rsidRPr="00424E3B">
        <w:t xml:space="preserve"> таких товаров при их продаже хозяйствующими субъектами, осуществляющими аналогичную деятельность;</w:t>
      </w:r>
    </w:p>
    <w:p w:rsidR="00540D75" w:rsidRPr="00424E3B" w:rsidRDefault="00540D75" w:rsidP="00424E3B">
      <w:pPr>
        <w:pStyle w:val="ConsPlusNormal"/>
        <w:spacing w:line="360" w:lineRule="auto"/>
        <w:ind w:firstLine="540"/>
        <w:jc w:val="both"/>
      </w:pPr>
      <w:bookmarkStart w:id="1" w:name="Par8"/>
      <w:bookmarkEnd w:id="1"/>
      <w:proofErr w:type="spellStart"/>
      <w:r w:rsidRPr="00424E3B">
        <w:lastRenderedPageBreak/>
        <w:t>д</w:t>
      </w:r>
      <w:proofErr w:type="spellEnd"/>
      <w:r w:rsidRPr="00424E3B">
        <w:t xml:space="preserve">) </w:t>
      </w:r>
      <w:r w:rsidRPr="00BD2634">
        <w:rPr>
          <w:b/>
        </w:rPr>
        <w:t xml:space="preserve">условия о возврате </w:t>
      </w:r>
      <w:r w:rsidRPr="00424E3B">
        <w:t xml:space="preserve">хозяйствующему субъекту, осуществившему поставки продовольственных товаров, таких </w:t>
      </w:r>
      <w:r w:rsidRPr="00BD2634">
        <w:rPr>
          <w:b/>
        </w:rPr>
        <w:t>товаров, не проданных по истечении определенного срока,</w:t>
      </w:r>
      <w:r w:rsidRPr="00424E3B">
        <w:t xml:space="preserve"> за исключением случаев, если возврат таких товаров допускается или предусмотрен </w:t>
      </w:r>
      <w:hyperlink r:id="rId6" w:history="1">
        <w:r w:rsidRPr="00424E3B">
          <w:rPr>
            <w:color w:val="0000FF"/>
          </w:rPr>
          <w:t>законодательством</w:t>
        </w:r>
      </w:hyperlink>
      <w:r w:rsidRPr="00424E3B">
        <w:t xml:space="preserve"> Российской Федерации;</w:t>
      </w:r>
    </w:p>
    <w:p w:rsidR="00540D75" w:rsidRPr="00424E3B" w:rsidRDefault="00540D75" w:rsidP="00424E3B">
      <w:pPr>
        <w:pStyle w:val="ConsPlusNormal"/>
        <w:spacing w:line="360" w:lineRule="auto"/>
        <w:ind w:firstLine="540"/>
        <w:jc w:val="both"/>
      </w:pPr>
      <w:r w:rsidRPr="00424E3B">
        <w:t xml:space="preserve">е) иные условия, не относящиеся к предмету договора; </w:t>
      </w:r>
    </w:p>
    <w:p w:rsidR="00540D75" w:rsidRPr="00424E3B" w:rsidRDefault="00540D75" w:rsidP="00424E3B">
      <w:pPr>
        <w:pStyle w:val="ConsPlusNormal"/>
        <w:spacing w:line="360" w:lineRule="auto"/>
        <w:ind w:firstLine="540"/>
        <w:jc w:val="both"/>
      </w:pPr>
      <w:proofErr w:type="gramStart"/>
      <w:r w:rsidRPr="00424E3B">
        <w:t xml:space="preserve">5) </w:t>
      </w:r>
      <w:r w:rsidRPr="00BD2634">
        <w:rPr>
          <w:b/>
        </w:rPr>
        <w:t>заключать</w:t>
      </w:r>
      <w:r w:rsidRPr="00424E3B">
        <w:t xml:space="preserve"> между собой для осуществления торговой деятельности </w:t>
      </w:r>
      <w:r w:rsidRPr="00BD2634">
        <w:rPr>
          <w:b/>
        </w:rPr>
        <w:t>договор, по которому товар передается для реализации третьему лицу без перехода к такому лицу права собственности на товар</w:t>
      </w:r>
      <w:r w:rsidRPr="00424E3B">
        <w:t xml:space="preserve">, в том числе договор комиссии, договор поручения, агентский договор или смешанный договор, содержащий элементы одного или всех указанных договоров, за исключением заключения указанных договоров внутри одной группы лиц, определяемой в соответствии с Федеральным </w:t>
      </w:r>
      <w:hyperlink r:id="rId7" w:history="1">
        <w:r w:rsidRPr="00424E3B">
          <w:rPr>
            <w:color w:val="0000FF"/>
          </w:rPr>
          <w:t>законом</w:t>
        </w:r>
        <w:proofErr w:type="gramEnd"/>
      </w:hyperlink>
      <w:r w:rsidRPr="00424E3B">
        <w:t xml:space="preserve"> "О защите конкуренции", и (или) заключения указанных договоров между хозяйствующими субъектами, образующими торговую сеть, либо исполнять (реализовывать) такие договоры.</w:t>
      </w:r>
    </w:p>
    <w:p w:rsidR="00540D75" w:rsidRDefault="00540D75" w:rsidP="00424E3B">
      <w:pPr>
        <w:pStyle w:val="ConsPlusNormal"/>
        <w:spacing w:line="360" w:lineRule="auto"/>
        <w:ind w:firstLine="540"/>
        <w:jc w:val="both"/>
      </w:pPr>
      <w:proofErr w:type="gramStart"/>
      <w:r w:rsidRPr="00424E3B">
        <w:t>В соответствии с антимонопольными правилами торговая сеть (за исключением сельскохозяйственного потребительского кооператива, организации потребительской кооперации) доля которо</w:t>
      </w:r>
      <w:r w:rsidR="004A0699" w:rsidRPr="00424E3B">
        <w:t>й</w:t>
      </w:r>
      <w:r w:rsidRPr="00424E3B">
        <w:t xml:space="preserve"> превышает </w:t>
      </w:r>
      <w:r w:rsidRPr="00BD2634">
        <w:rPr>
          <w:b/>
        </w:rPr>
        <w:t>двадцать пять процентов объема всех реализованных продовольственных товаров в денежном выражении за предыдущий финансовый год</w:t>
      </w:r>
      <w:r w:rsidRPr="00424E3B">
        <w:t xml:space="preserve"> в границах</w:t>
      </w:r>
      <w:r w:rsidR="004A0699" w:rsidRPr="00424E3B">
        <w:t xml:space="preserve"> субъекта Российской Федерации</w:t>
      </w:r>
      <w:r w:rsidRPr="00424E3B">
        <w:t>, в границах муниципального района, городского округа, не вправе приобретать или арендовать в границах соответствующего административно-территориального образования дополнительную площадь торговых объектов для осуществления</w:t>
      </w:r>
      <w:proofErr w:type="gramEnd"/>
      <w:r w:rsidRPr="00424E3B">
        <w:t xml:space="preserve"> торговой деятельности по любым основаниям, в том числе в результате введения в эксплуатацию торговых объектов, участия в торгах, проводимых в целях их приобретения.</w:t>
      </w:r>
      <w:r w:rsidR="004A0699" w:rsidRPr="00424E3B">
        <w:t xml:space="preserve"> </w:t>
      </w:r>
      <w:r w:rsidRPr="00424E3B">
        <w:t xml:space="preserve">Сделка, совершенная с нарушением </w:t>
      </w:r>
      <w:r w:rsidR="004A0699" w:rsidRPr="00424E3B">
        <w:t>приведенного</w:t>
      </w:r>
      <w:r w:rsidRPr="00424E3B">
        <w:t xml:space="preserve"> требовани</w:t>
      </w:r>
      <w:r w:rsidR="004A0699" w:rsidRPr="00424E3B">
        <w:t>я</w:t>
      </w:r>
      <w:r w:rsidRPr="00424E3B">
        <w:t>, ничтожна.</w:t>
      </w:r>
    </w:p>
    <w:p w:rsidR="00424E3B" w:rsidRPr="00424E3B" w:rsidRDefault="00424E3B" w:rsidP="00424E3B">
      <w:pPr>
        <w:pStyle w:val="ConsPlusNormal"/>
        <w:spacing w:line="360" w:lineRule="auto"/>
        <w:ind w:firstLine="540"/>
        <w:jc w:val="both"/>
      </w:pPr>
      <w:r>
        <w:lastRenderedPageBreak/>
        <w:t>За нарушение антимонопольных правил в Кодекс Российской Федерации об административных правонарушениях внесены санкции – штрафы на торговые сети от двух миллионов до пяти миллионов рублей.</w:t>
      </w:r>
    </w:p>
    <w:p w:rsidR="00540D75" w:rsidRPr="00424E3B" w:rsidRDefault="00540D75" w:rsidP="00424E3B">
      <w:pPr>
        <w:pStyle w:val="2"/>
        <w:shd w:val="clear" w:color="auto" w:fill="auto"/>
        <w:spacing w:after="0" w:line="360" w:lineRule="auto"/>
        <w:ind w:firstLine="709"/>
        <w:rPr>
          <w:sz w:val="16"/>
          <w:szCs w:val="16"/>
        </w:rPr>
      </w:pPr>
    </w:p>
    <w:p w:rsidR="00540D75" w:rsidRPr="00424E3B" w:rsidRDefault="00540D75" w:rsidP="00424E3B">
      <w:pPr>
        <w:pStyle w:val="2"/>
        <w:shd w:val="clear" w:color="auto" w:fill="auto"/>
        <w:spacing w:after="0" w:line="360" w:lineRule="auto"/>
        <w:ind w:firstLine="709"/>
      </w:pPr>
      <w:r w:rsidRPr="00424E3B">
        <w:t xml:space="preserve">При </w:t>
      </w:r>
      <w:r w:rsidR="00424E3B">
        <w:t>этом</w:t>
      </w:r>
      <w:proofErr w:type="gramStart"/>
      <w:r w:rsidR="00424E3B">
        <w:t>,</w:t>
      </w:r>
      <w:proofErr w:type="gramEnd"/>
      <w:r w:rsidR="00424E3B">
        <w:t xml:space="preserve"> отмечу</w:t>
      </w:r>
      <w:r w:rsidRPr="00424E3B">
        <w:t xml:space="preserve">, что </w:t>
      </w:r>
      <w:r w:rsidR="00424E3B">
        <w:t xml:space="preserve">согласно новой редакции Закона о торговле </w:t>
      </w:r>
      <w:r w:rsidRPr="00424E3B">
        <w:t xml:space="preserve">антимонопольные органы помимо соблюдения требований антимонопольных правил </w:t>
      </w:r>
      <w:r w:rsidR="004A0699" w:rsidRPr="00424E3B">
        <w:t>контролиру</w:t>
      </w:r>
      <w:r w:rsidR="00424E3B">
        <w:t>ю</w:t>
      </w:r>
      <w:r w:rsidR="004A0699" w:rsidRPr="00424E3B">
        <w:t>т соблюдение требований Закона о торговле в части следующих обязанностей:</w:t>
      </w:r>
    </w:p>
    <w:p w:rsidR="004A0699" w:rsidRPr="00424E3B" w:rsidRDefault="004A0699" w:rsidP="00424E3B">
      <w:pPr>
        <w:pStyle w:val="ConsPlusNormal"/>
        <w:spacing w:line="360" w:lineRule="auto"/>
        <w:ind w:firstLine="540"/>
        <w:jc w:val="both"/>
      </w:pPr>
      <w:r w:rsidRPr="00424E3B">
        <w:rPr>
          <w:b/>
        </w:rPr>
        <w:t>1.</w:t>
      </w:r>
      <w:r w:rsidRPr="00424E3B">
        <w:t xml:space="preserve">Непредоставление </w:t>
      </w:r>
      <w:r w:rsidRPr="00BD2634">
        <w:rPr>
          <w:u w:val="single"/>
        </w:rPr>
        <w:t>торговой сетью</w:t>
      </w:r>
      <w:r w:rsidRPr="00424E3B">
        <w:t xml:space="preserve">, запрашиваемой контрагентом </w:t>
      </w:r>
      <w:hyperlink r:id="rId8" w:history="1">
        <w:r w:rsidRPr="00FF5B78">
          <w:rPr>
            <w:b/>
            <w:color w:val="0000FF"/>
          </w:rPr>
          <w:t>информации</w:t>
        </w:r>
      </w:hyperlink>
      <w:r w:rsidRPr="00FF5B78">
        <w:rPr>
          <w:b/>
        </w:rPr>
        <w:t xml:space="preserve"> об условиях отбора контрагента</w:t>
      </w:r>
      <w:r w:rsidRPr="00424E3B">
        <w:t xml:space="preserve"> для заключения договора поставки продовольственных товаров, </w:t>
      </w:r>
      <w:r w:rsidRPr="00FF5B78">
        <w:rPr>
          <w:b/>
        </w:rPr>
        <w:t>о существенных условиях</w:t>
      </w:r>
      <w:r w:rsidRPr="00424E3B">
        <w:t xml:space="preserve"> такого договора.</w:t>
      </w:r>
    </w:p>
    <w:p w:rsidR="004A0699" w:rsidRPr="00424E3B" w:rsidRDefault="004A0699" w:rsidP="00424E3B">
      <w:pPr>
        <w:pStyle w:val="ConsPlusNormal"/>
        <w:spacing w:line="360" w:lineRule="auto"/>
        <w:ind w:firstLine="540"/>
        <w:jc w:val="both"/>
      </w:pPr>
      <w:r w:rsidRPr="00424E3B">
        <w:rPr>
          <w:b/>
        </w:rPr>
        <w:t>2</w:t>
      </w:r>
      <w:r w:rsidRPr="00424E3B">
        <w:t xml:space="preserve">. </w:t>
      </w:r>
      <w:proofErr w:type="spellStart"/>
      <w:r w:rsidRPr="00424E3B">
        <w:t>Непредоставление</w:t>
      </w:r>
      <w:proofErr w:type="spellEnd"/>
      <w:r w:rsidRPr="00424E3B">
        <w:t xml:space="preserve"> </w:t>
      </w:r>
      <w:r w:rsidRPr="00BD2634">
        <w:rPr>
          <w:u w:val="single"/>
        </w:rPr>
        <w:t>поставщиком</w:t>
      </w:r>
      <w:r w:rsidRPr="00424E3B">
        <w:t xml:space="preserve"> продовольственных товаров, запрашиваемой контрагентом </w:t>
      </w:r>
      <w:r w:rsidRPr="00FF5B78">
        <w:rPr>
          <w:b/>
        </w:rPr>
        <w:t>информации</w:t>
      </w:r>
      <w:r w:rsidRPr="00424E3B">
        <w:t xml:space="preserve"> </w:t>
      </w:r>
      <w:r w:rsidRPr="00FF5B78">
        <w:rPr>
          <w:b/>
        </w:rPr>
        <w:t>об условиях отбора контрагента</w:t>
      </w:r>
      <w:r w:rsidRPr="00424E3B">
        <w:t xml:space="preserve"> для заключения договора поставки продовольственных товаров, </w:t>
      </w:r>
      <w:r w:rsidRPr="00FF5B78">
        <w:rPr>
          <w:b/>
        </w:rPr>
        <w:t>о существенных условиях</w:t>
      </w:r>
      <w:r w:rsidRPr="00424E3B">
        <w:t xml:space="preserve"> такого договора и информации о качестве и безопасности поставляемых продовольственных.</w:t>
      </w:r>
    </w:p>
    <w:p w:rsidR="004A0699" w:rsidRPr="00FF5B78" w:rsidRDefault="004A0699" w:rsidP="00424E3B">
      <w:pPr>
        <w:pStyle w:val="ConsPlusNormal"/>
        <w:spacing w:line="360" w:lineRule="auto"/>
        <w:ind w:firstLine="540"/>
        <w:jc w:val="both"/>
        <w:rPr>
          <w:b/>
        </w:rPr>
      </w:pPr>
      <w:r w:rsidRPr="00424E3B">
        <w:rPr>
          <w:b/>
        </w:rPr>
        <w:t>3.</w:t>
      </w:r>
      <w:r w:rsidRPr="00424E3B">
        <w:t xml:space="preserve"> </w:t>
      </w:r>
      <w:proofErr w:type="gramStart"/>
      <w:r w:rsidRPr="00BD2634">
        <w:rPr>
          <w:b/>
        </w:rPr>
        <w:t xml:space="preserve">Превышение совокупного размера </w:t>
      </w:r>
      <w:hyperlink r:id="rId9" w:history="1">
        <w:r w:rsidRPr="00BD2634">
          <w:rPr>
            <w:b/>
            <w:color w:val="0000FF"/>
          </w:rPr>
          <w:t>вознаграждения</w:t>
        </w:r>
      </w:hyperlink>
      <w:r w:rsidRPr="00424E3B">
        <w:t xml:space="preserve">, выплачиваемого хозяйствующему субъекту, осуществляющему торговую деятельность, </w:t>
      </w:r>
      <w:r w:rsidRPr="00BD2634">
        <w:rPr>
          <w:b/>
        </w:rPr>
        <w:t>в связи с приобретением</w:t>
      </w:r>
      <w:r w:rsidRPr="00424E3B">
        <w:t xml:space="preserve"> им у хозяйствующего субъекта, осуществляющего поставки продовольственных товаров, </w:t>
      </w:r>
      <w:r w:rsidRPr="00BD2634">
        <w:rPr>
          <w:b/>
        </w:rPr>
        <w:t>определенного количества продовольственных товаров</w:t>
      </w:r>
      <w:r w:rsidRPr="00424E3B">
        <w:t xml:space="preserve">, </w:t>
      </w:r>
      <w:r w:rsidRPr="00BD2634">
        <w:rPr>
          <w:b/>
        </w:rPr>
        <w:t xml:space="preserve">и платы за оказание услуг по продвижению товаров, </w:t>
      </w:r>
      <w:proofErr w:type="spellStart"/>
      <w:r w:rsidRPr="00BD2634">
        <w:rPr>
          <w:b/>
        </w:rPr>
        <w:t>логистических</w:t>
      </w:r>
      <w:proofErr w:type="spellEnd"/>
      <w:r w:rsidRPr="00BD2634">
        <w:rPr>
          <w:b/>
        </w:rPr>
        <w:t xml:space="preserve"> услуг, услуг по подготовке, обработке, упаковке этих товаров, иных подобных услуг</w:t>
      </w:r>
      <w:r w:rsidRPr="00424E3B">
        <w:t xml:space="preserve"> </w:t>
      </w:r>
      <w:r w:rsidRPr="00FF5B78">
        <w:rPr>
          <w:b/>
        </w:rPr>
        <w:t>более чем на 5 процентов от цены приобретенных продовольственных товаров</w:t>
      </w:r>
      <w:r w:rsidRPr="00424E3B">
        <w:t xml:space="preserve"> </w:t>
      </w:r>
      <w:r w:rsidRPr="00FF5B78">
        <w:rPr>
          <w:b/>
        </w:rPr>
        <w:t>либо выплата указанного вознаграждения</w:t>
      </w:r>
      <w:proofErr w:type="gramEnd"/>
      <w:r w:rsidRPr="00FF5B78">
        <w:rPr>
          <w:b/>
        </w:rPr>
        <w:t xml:space="preserve"> в связи с приобретением хозяйствующим субъектом, осуществляющим торговую деятельность, отдельных видов социально значимых продовольственных товаров, указанных в перечне, установленном Правительством Российской Федерации.</w:t>
      </w:r>
    </w:p>
    <w:p w:rsidR="004A0699" w:rsidRPr="00424E3B" w:rsidRDefault="004A0699" w:rsidP="00424E3B">
      <w:pPr>
        <w:pStyle w:val="ConsPlusNormal"/>
        <w:spacing w:line="360" w:lineRule="auto"/>
        <w:ind w:firstLine="540"/>
        <w:jc w:val="both"/>
      </w:pPr>
      <w:r w:rsidRPr="00424E3B">
        <w:rPr>
          <w:b/>
        </w:rPr>
        <w:lastRenderedPageBreak/>
        <w:t>4</w:t>
      </w:r>
      <w:r w:rsidRPr="00424E3B">
        <w:t xml:space="preserve">. </w:t>
      </w:r>
      <w:r w:rsidRPr="00FF5B78">
        <w:rPr>
          <w:b/>
        </w:rPr>
        <w:t>Включение</w:t>
      </w:r>
      <w:r w:rsidRPr="00424E3B">
        <w:t xml:space="preserve"> хозяйствующим субъектом, осуществляющим торговую деятельность, и (или) хозяйствующим субъектом, осуществляющим поставки продовольственных товаров, </w:t>
      </w:r>
      <w:r w:rsidRPr="00FF5B78">
        <w:rPr>
          <w:b/>
        </w:rPr>
        <w:t xml:space="preserve">в цену договора поставки продовольственных товаров видов вознаграждения, не предусмотренных федеральным </w:t>
      </w:r>
      <w:hyperlink r:id="rId10" w:history="1">
        <w:r w:rsidRPr="00FF5B78">
          <w:rPr>
            <w:b/>
            <w:color w:val="0000FF"/>
          </w:rPr>
          <w:t>законом</w:t>
        </w:r>
      </w:hyperlink>
      <w:r w:rsidRPr="00424E3B">
        <w:t>, либо исполнение (реализация) такого договора в соответствующей части.</w:t>
      </w:r>
    </w:p>
    <w:p w:rsidR="004A0699" w:rsidRPr="00424E3B" w:rsidRDefault="004A0699" w:rsidP="00424E3B">
      <w:pPr>
        <w:pStyle w:val="ConsPlusNormal"/>
        <w:spacing w:line="360" w:lineRule="auto"/>
        <w:ind w:firstLine="540"/>
        <w:jc w:val="both"/>
      </w:pPr>
      <w:r w:rsidRPr="00424E3B">
        <w:rPr>
          <w:b/>
        </w:rPr>
        <w:t>5.</w:t>
      </w:r>
      <w:r w:rsidRPr="00424E3B">
        <w:t xml:space="preserve"> </w:t>
      </w:r>
      <w:r w:rsidRPr="00FF5B78">
        <w:rPr>
          <w:b/>
        </w:rPr>
        <w:t>Установление</w:t>
      </w:r>
      <w:r w:rsidRPr="00424E3B">
        <w:t xml:space="preserve"> хозяйствующим субъектом, осуществляющим торговую деятельность, и (или) хозяйствующим субъектом, осуществляющим поставки продовольственных товаров, в договоре поставки продовольственных товаров </w:t>
      </w:r>
      <w:r w:rsidRPr="00FF5B78">
        <w:rPr>
          <w:b/>
        </w:rPr>
        <w:t xml:space="preserve">сроков оплаты таких товаров, превышающих сроки, установленные федеральным </w:t>
      </w:r>
      <w:hyperlink r:id="rId11" w:history="1">
        <w:r w:rsidRPr="00FF5B78">
          <w:rPr>
            <w:b/>
            <w:color w:val="0000FF"/>
          </w:rPr>
          <w:t>законом</w:t>
        </w:r>
      </w:hyperlink>
      <w:r w:rsidRPr="00424E3B">
        <w:t>, либо исполнение (реализация) такого договора в соответствующей части.</w:t>
      </w:r>
    </w:p>
    <w:p w:rsidR="004A0699" w:rsidRPr="00424E3B" w:rsidRDefault="004A0699" w:rsidP="00424E3B">
      <w:pPr>
        <w:pStyle w:val="ConsPlusNormal"/>
        <w:spacing w:line="360" w:lineRule="auto"/>
        <w:ind w:firstLine="540"/>
        <w:jc w:val="both"/>
      </w:pPr>
      <w:r w:rsidRPr="00424E3B">
        <w:rPr>
          <w:b/>
        </w:rPr>
        <w:t>6</w:t>
      </w:r>
      <w:r w:rsidRPr="00424E3B">
        <w:t xml:space="preserve">. </w:t>
      </w:r>
      <w:r w:rsidRPr="00FF5B78">
        <w:rPr>
          <w:b/>
        </w:rPr>
        <w:t>Установление</w:t>
      </w:r>
      <w:r w:rsidRPr="00424E3B">
        <w:t xml:space="preserve"> хозяйствующим субъектом, осуществляющим торговую деятельность, и (или) хозяйствующим субъектом, осуществляющим поставки продовольственных товаров, в договоре поставки продовольственных товаров </w:t>
      </w:r>
      <w:hyperlink r:id="rId12" w:history="1">
        <w:r w:rsidRPr="00FF5B78">
          <w:rPr>
            <w:b/>
            <w:color w:val="0000FF"/>
          </w:rPr>
          <w:t>запрета</w:t>
        </w:r>
      </w:hyperlink>
      <w:r w:rsidRPr="00FF5B78">
        <w:rPr>
          <w:b/>
        </w:rPr>
        <w:t xml:space="preserve"> на перемену лиц в обязательстве по такому договору путем уступки требования, либо установление гражданско-правовой ответственности за несоблюдение указанного запрета сторонами договора</w:t>
      </w:r>
      <w:r w:rsidRPr="00424E3B">
        <w:t>, либо исполнение (реализация) такого договора в соответствующей части.</w:t>
      </w:r>
    </w:p>
    <w:p w:rsidR="004A0699" w:rsidRPr="00424E3B" w:rsidRDefault="004A0699" w:rsidP="00424E3B">
      <w:pPr>
        <w:pStyle w:val="ConsPlusNormal"/>
        <w:spacing w:line="360" w:lineRule="auto"/>
        <w:ind w:firstLine="540"/>
        <w:jc w:val="both"/>
      </w:pPr>
      <w:r w:rsidRPr="00424E3B">
        <w:rPr>
          <w:b/>
        </w:rPr>
        <w:t>7.</w:t>
      </w:r>
      <w:r w:rsidRPr="00424E3B">
        <w:t xml:space="preserve"> </w:t>
      </w:r>
      <w:hyperlink r:id="rId13" w:history="1">
        <w:proofErr w:type="gramStart"/>
        <w:r w:rsidRPr="00FF5B78">
          <w:rPr>
            <w:b/>
            <w:color w:val="0000FF"/>
          </w:rPr>
          <w:t>Включение</w:t>
        </w:r>
      </w:hyperlink>
      <w:r w:rsidRPr="00424E3B">
        <w:t xml:space="preserve"> хозяйствующим субъектом, осуществляющим торговую деятельность, и (или) хозяйствующим субъектом, осуществляющим поставки продовольственных товаров, </w:t>
      </w:r>
      <w:r w:rsidRPr="00BD2634">
        <w:rPr>
          <w:b/>
        </w:rPr>
        <w:t>в договор поставки</w:t>
      </w:r>
      <w:r w:rsidRPr="00424E3B">
        <w:t xml:space="preserve"> продовольственных товаров </w:t>
      </w:r>
      <w:r w:rsidRPr="00FF5B78">
        <w:rPr>
          <w:b/>
        </w:rPr>
        <w:t>условий</w:t>
      </w:r>
      <w:r w:rsidRPr="00424E3B">
        <w:t xml:space="preserve"> о совершении хозяйствующим субъектом, осуществляющим торговую деятельность, в отношении поставленных продовольственных товаров действий, </w:t>
      </w:r>
      <w:r w:rsidRPr="00FF5B78">
        <w:rPr>
          <w:b/>
        </w:rPr>
        <w:t>связанных с оказанием услуг по продвижению товаров, услуг по подготовке, обработке, упаковке этих товаров, иных подобных услуг</w:t>
      </w:r>
      <w:r w:rsidRPr="00424E3B">
        <w:t>, либо исполнение (реализация) такого договора в соответствующей части.</w:t>
      </w:r>
      <w:proofErr w:type="gramEnd"/>
    </w:p>
    <w:p w:rsidR="004A0699" w:rsidRPr="00424E3B" w:rsidRDefault="004A0699" w:rsidP="00424E3B">
      <w:pPr>
        <w:pStyle w:val="ConsPlusNormal"/>
        <w:spacing w:line="360" w:lineRule="auto"/>
        <w:ind w:firstLine="540"/>
        <w:jc w:val="both"/>
      </w:pPr>
      <w:bookmarkStart w:id="2" w:name="Par47"/>
      <w:bookmarkEnd w:id="2"/>
      <w:r w:rsidRPr="00424E3B">
        <w:rPr>
          <w:b/>
        </w:rPr>
        <w:lastRenderedPageBreak/>
        <w:t>8</w:t>
      </w:r>
      <w:r w:rsidRPr="00FF5B78">
        <w:rPr>
          <w:b/>
        </w:rPr>
        <w:t xml:space="preserve">. </w:t>
      </w:r>
      <w:hyperlink r:id="rId14" w:history="1">
        <w:proofErr w:type="gramStart"/>
        <w:r w:rsidRPr="00FF5B78">
          <w:rPr>
            <w:b/>
            <w:color w:val="0000FF"/>
          </w:rPr>
          <w:t>Понуждение</w:t>
        </w:r>
      </w:hyperlink>
      <w:r w:rsidRPr="00424E3B">
        <w:t xml:space="preserve"> хозяйствующим субъектом, осуществляющим торговую деятельность, или хозяйствующим субъектом, осуществляющим поставки продовольственных товаров, </w:t>
      </w:r>
      <w:r w:rsidRPr="00FF5B78">
        <w:rPr>
          <w:b/>
        </w:rPr>
        <w:t>к заключению и (или) исполнению договора возмездного оказания услуг (в том числе с третьими лицами), направленного на оказание услуг по продвижению товаров, услуг по подготовке, обработке, упаковке указанных товаров, иных подобных услуг</w:t>
      </w:r>
      <w:r w:rsidRPr="00424E3B">
        <w:t>, а также иных договоров при заключении и (или) исполнении (реализации) договора поставки.</w:t>
      </w:r>
      <w:proofErr w:type="gramEnd"/>
    </w:p>
    <w:p w:rsidR="004A0699" w:rsidRPr="00424E3B" w:rsidRDefault="004A0699" w:rsidP="00424E3B">
      <w:pPr>
        <w:pStyle w:val="ConsPlusNormal"/>
        <w:spacing w:line="360" w:lineRule="auto"/>
        <w:ind w:firstLine="540"/>
        <w:jc w:val="both"/>
      </w:pPr>
      <w:r w:rsidRPr="00424E3B">
        <w:rPr>
          <w:b/>
        </w:rPr>
        <w:t>9.</w:t>
      </w:r>
      <w:r w:rsidRPr="00424E3B">
        <w:t xml:space="preserve"> </w:t>
      </w:r>
      <w:r w:rsidRPr="00FF5B78">
        <w:rPr>
          <w:b/>
        </w:rPr>
        <w:t>Совершение</w:t>
      </w:r>
      <w:r w:rsidRPr="00424E3B">
        <w:t xml:space="preserve"> хозяйствующим субъектом, осуществляющим торговую деятельность по продаже продовольственных товаров посредством организации торговой сети, и (или) хозяйствующим субъектом, осуществляющим поставки продовольственных товаров в торговые сети, </w:t>
      </w:r>
      <w:r w:rsidRPr="00FF5B78">
        <w:rPr>
          <w:b/>
        </w:rPr>
        <w:t xml:space="preserve">запрещенных федеральным </w:t>
      </w:r>
      <w:hyperlink r:id="rId15" w:history="1">
        <w:r w:rsidRPr="00FF5B78">
          <w:rPr>
            <w:b/>
            <w:color w:val="0000FF"/>
          </w:rPr>
          <w:t>законом</w:t>
        </w:r>
      </w:hyperlink>
      <w:r w:rsidRPr="00FF5B78">
        <w:rPr>
          <w:b/>
        </w:rPr>
        <w:t xml:space="preserve"> действий по взиманию платы, внесению платы либо возмещению расходов</w:t>
      </w:r>
      <w:r w:rsidRPr="00424E3B">
        <w:t>.</w:t>
      </w:r>
    </w:p>
    <w:p w:rsidR="004A0699" w:rsidRPr="00424E3B" w:rsidRDefault="004A0699" w:rsidP="00424E3B">
      <w:pPr>
        <w:pStyle w:val="ConsPlusNormal"/>
        <w:spacing w:line="360" w:lineRule="auto"/>
        <w:ind w:firstLine="540"/>
        <w:jc w:val="both"/>
      </w:pPr>
      <w:r w:rsidRPr="00424E3B">
        <w:t>В перечисленных случаях не введен иммунитет для субъектов, имеющих выручку до 400 млн</w:t>
      </w:r>
      <w:proofErr w:type="gramStart"/>
      <w:r w:rsidRPr="00424E3B">
        <w:t>.р</w:t>
      </w:r>
      <w:proofErr w:type="gramEnd"/>
      <w:r w:rsidRPr="00424E3B">
        <w:t>уб.</w:t>
      </w:r>
      <w:r w:rsidR="00424E3B">
        <w:t xml:space="preserve"> За неисполнение перечисленных обязанностей также предусмотрены штрафы от одного миллиона до пяти миллионов рублей.</w:t>
      </w:r>
    </w:p>
    <w:p w:rsidR="000D0A12" w:rsidRDefault="000D0A12" w:rsidP="00424E3B">
      <w:pPr>
        <w:pStyle w:val="2"/>
        <w:shd w:val="clear" w:color="auto" w:fill="auto"/>
        <w:spacing w:after="0" w:line="360" w:lineRule="auto"/>
        <w:ind w:firstLine="709"/>
      </w:pPr>
      <w:r>
        <w:t>С этого года изменен подход к привлечению торговых сетей к административной ответственности за несоблюдение требований, предусмотренных Законом о торговле. По фактам неисполнения обязанностей, которые озвучены, срок давности привлечения к административной ответственности составлял два месяца</w:t>
      </w:r>
      <w:r w:rsidR="00BD2634">
        <w:t xml:space="preserve"> с момента совершения правонарушения</w:t>
      </w:r>
      <w:r>
        <w:t>, что чаще всего приводило к невозможности привлечения торговой сети</w:t>
      </w:r>
      <w:r w:rsidR="00BD2634">
        <w:t xml:space="preserve"> к </w:t>
      </w:r>
      <w:r>
        <w:t>ответственности.</w:t>
      </w:r>
      <w:r w:rsidR="00B43CFA">
        <w:t xml:space="preserve"> </w:t>
      </w:r>
      <w:r>
        <w:t xml:space="preserve">На сегодняшний день срок </w:t>
      </w:r>
      <w:r w:rsidR="00B43CFA">
        <w:t xml:space="preserve">давности </w:t>
      </w:r>
      <w:r>
        <w:t xml:space="preserve">увеличен </w:t>
      </w:r>
      <w:r w:rsidR="00FF5B78">
        <w:t>до одного года.</w:t>
      </w:r>
    </w:p>
    <w:p w:rsidR="00FF5B78" w:rsidRPr="00424E3B" w:rsidRDefault="00FF5B78" w:rsidP="00424E3B">
      <w:pPr>
        <w:pStyle w:val="2"/>
        <w:shd w:val="clear" w:color="auto" w:fill="auto"/>
        <w:spacing w:after="0" w:line="360" w:lineRule="auto"/>
        <w:ind w:firstLine="709"/>
      </w:pPr>
    </w:p>
    <w:sectPr w:rsidR="00FF5B78" w:rsidRPr="00424E3B" w:rsidSect="009C77B0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1775"/>
    <w:multiLevelType w:val="multilevel"/>
    <w:tmpl w:val="42C4A4E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72922E2"/>
    <w:multiLevelType w:val="multilevel"/>
    <w:tmpl w:val="D4DEC5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C08176F"/>
    <w:multiLevelType w:val="multilevel"/>
    <w:tmpl w:val="4386FF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45C"/>
    <w:rsid w:val="000D0A12"/>
    <w:rsid w:val="001450D9"/>
    <w:rsid w:val="00195999"/>
    <w:rsid w:val="001F528A"/>
    <w:rsid w:val="00206EE3"/>
    <w:rsid w:val="00235C4C"/>
    <w:rsid w:val="00424E3B"/>
    <w:rsid w:val="004A0699"/>
    <w:rsid w:val="00540D75"/>
    <w:rsid w:val="00553648"/>
    <w:rsid w:val="00620779"/>
    <w:rsid w:val="0075218A"/>
    <w:rsid w:val="00756C06"/>
    <w:rsid w:val="00776E63"/>
    <w:rsid w:val="007A604A"/>
    <w:rsid w:val="008530FC"/>
    <w:rsid w:val="0089287F"/>
    <w:rsid w:val="008E2598"/>
    <w:rsid w:val="008F2F00"/>
    <w:rsid w:val="009C77B0"/>
    <w:rsid w:val="009D02DC"/>
    <w:rsid w:val="00AE2351"/>
    <w:rsid w:val="00AF3E19"/>
    <w:rsid w:val="00B43CFA"/>
    <w:rsid w:val="00B502CF"/>
    <w:rsid w:val="00B860D8"/>
    <w:rsid w:val="00BD2634"/>
    <w:rsid w:val="00C236E7"/>
    <w:rsid w:val="00C4105A"/>
    <w:rsid w:val="00C977CB"/>
    <w:rsid w:val="00CB2F46"/>
    <w:rsid w:val="00D8045C"/>
    <w:rsid w:val="00E2406E"/>
    <w:rsid w:val="00E55201"/>
    <w:rsid w:val="00EE0854"/>
    <w:rsid w:val="00F11ECE"/>
    <w:rsid w:val="00F215A9"/>
    <w:rsid w:val="00F86184"/>
    <w:rsid w:val="00FC3DB2"/>
    <w:rsid w:val="00FF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D804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D8045C"/>
    <w:pPr>
      <w:shd w:val="clear" w:color="auto" w:fill="FFFFFF"/>
      <w:spacing w:after="240" w:line="322" w:lineRule="exact"/>
      <w:ind w:hanging="18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locked/>
    <w:rsid w:val="00D8045C"/>
    <w:rPr>
      <w:rFonts w:ascii="Malgun Gothic" w:eastAsia="Malgun Gothic" w:hAnsi="Malgun Gothic" w:cs="Malgun Gothic"/>
      <w:spacing w:val="20"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D8045C"/>
    <w:pPr>
      <w:shd w:val="clear" w:color="auto" w:fill="FFFFFF"/>
      <w:spacing w:before="840" w:line="0" w:lineRule="atLeast"/>
      <w:jc w:val="right"/>
      <w:outlineLvl w:val="0"/>
    </w:pPr>
    <w:rPr>
      <w:rFonts w:ascii="Malgun Gothic" w:eastAsia="Malgun Gothic" w:hAnsi="Malgun Gothic" w:cs="Malgun Gothic"/>
      <w:color w:val="auto"/>
      <w:spacing w:val="20"/>
      <w:sz w:val="35"/>
      <w:szCs w:val="35"/>
      <w:lang w:eastAsia="en-US"/>
    </w:rPr>
  </w:style>
  <w:style w:type="character" w:customStyle="1" w:styleId="7">
    <w:name w:val="Основной текст (7)_"/>
    <w:basedOn w:val="a0"/>
    <w:link w:val="70"/>
    <w:locked/>
    <w:rsid w:val="00D8045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8045C"/>
    <w:pPr>
      <w:shd w:val="clear" w:color="auto" w:fill="FFFFFF"/>
      <w:spacing w:before="960" w:line="0" w:lineRule="atLeast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11">
    <w:name w:val="Основной текст1"/>
    <w:basedOn w:val="a3"/>
    <w:rsid w:val="00D8045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7Sylfaen">
    <w:name w:val="Основной текст (7) + Sylfaen"/>
    <w:aliases w:val="15 pt,Курсив,Интервал 0 pt"/>
    <w:basedOn w:val="7"/>
    <w:rsid w:val="00D8045C"/>
    <w:rPr>
      <w:rFonts w:ascii="Sylfaen" w:eastAsia="Sylfaen" w:hAnsi="Sylfaen" w:cs="Sylfaen"/>
      <w:i/>
      <w:iCs/>
      <w:color w:val="000000"/>
      <w:spacing w:val="1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9">
    <w:name w:val="Основной текст + 9"/>
    <w:aliases w:val="5 pt,Полужирный"/>
    <w:basedOn w:val="a3"/>
    <w:rsid w:val="00D8045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</w:rPr>
  </w:style>
  <w:style w:type="paragraph" w:customStyle="1" w:styleId="ConsPlusNormal">
    <w:name w:val="ConsPlusNormal"/>
    <w:rsid w:val="00540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187270B2D136C1A6FC03C87A6EF7636ADEBD9E99128D13665A5B4C8AD59D724C8543C0C154B73EXCFBM" TargetMode="External"/><Relationship Id="rId13" Type="http://schemas.openxmlformats.org/officeDocument/2006/relationships/hyperlink" Target="consultantplus://offline/ref=DE187270B2D136C1A6FC03C87A6EF7636ADEBD9E99128D13665A5B4C8AD59D724C8543C3XCF7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7E732AE3DE344FF3DE2A1BC4C405F274B424CC21F55472C351D15CD08AA6D36F82F06EAE7t4tCO" TargetMode="External"/><Relationship Id="rId12" Type="http://schemas.openxmlformats.org/officeDocument/2006/relationships/hyperlink" Target="consultantplus://offline/ref=DE187270B2D136C1A6FC03C87A6EF7636ADEBD9E99128D13665A5B4C8AD59D724C8543C0C154B636XCF3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E732AE3DE344FF3DE2A1BC4C405F2748424DCB1657472C351D15CD08AA6D36F82F06E9EF44119Bt2tFO" TargetMode="External"/><Relationship Id="rId11" Type="http://schemas.openxmlformats.org/officeDocument/2006/relationships/hyperlink" Target="consultantplus://offline/ref=DE187270B2D136C1A6FC03C87A6EF7636ADEBD9E99128D13665A5B4C8AD59D724C8543C0C154B637XCF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187270B2D136C1A6FC03C87A6EF7636ADEBD9E99128D13665A5B4C8AD59D724C8543C3XCF6M" TargetMode="External"/><Relationship Id="rId10" Type="http://schemas.openxmlformats.org/officeDocument/2006/relationships/hyperlink" Target="consultantplus://offline/ref=DE187270B2D136C1A6FC03C87A6EF7636ADEBD9E99128D13665A5B4C8AD59D724C8543C0XCF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187270B2D136C1A6FC03C87A6EF7636ADEBD9E99128D13665A5B4C8AD59D724C8543C0XCF7M" TargetMode="External"/><Relationship Id="rId14" Type="http://schemas.openxmlformats.org/officeDocument/2006/relationships/hyperlink" Target="consultantplus://offline/ref=DE187270B2D136C1A6FC03C87A6EF7636ADEBD9E99128D13665A5B4C8AD59D724C8543C3XCF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B62DB-3E88-4635-8CAA-3778EB6F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to45-gagarina</dc:creator>
  <cp:keywords/>
  <dc:description/>
  <cp:lastModifiedBy>to45-gagarina</cp:lastModifiedBy>
  <cp:revision>17</cp:revision>
  <cp:lastPrinted>2016-08-16T08:56:00Z</cp:lastPrinted>
  <dcterms:created xsi:type="dcterms:W3CDTF">2016-08-09T05:49:00Z</dcterms:created>
  <dcterms:modified xsi:type="dcterms:W3CDTF">2016-08-16T08:57:00Z</dcterms:modified>
</cp:coreProperties>
</file>